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C2177" w14:textId="3782FB5D" w:rsidR="003E1A90" w:rsidRPr="00E82D46" w:rsidRDefault="00F17297">
      <w:pPr>
        <w:jc w:val="center"/>
        <w:rPr>
          <w:lang w:val="fr-FR"/>
        </w:rPr>
      </w:pPr>
      <w:bookmarkStart w:id="0" w:name="heading-nodeId--245097714"/>
      <w:r w:rsidRPr="00E82D46">
        <w:rPr>
          <w:b/>
          <w:lang w:val="fr-FR"/>
        </w:rPr>
        <w:t>OPPOSITION N</w:t>
      </w:r>
      <w:r w:rsidRPr="00E82D46">
        <w:rPr>
          <w:b/>
        </w:rPr>
        <w:t>о</w:t>
      </w:r>
      <w:r w:rsidRPr="00E82D46">
        <w:rPr>
          <w:b/>
          <w:lang w:val="fr-FR"/>
        </w:rPr>
        <w:t> B 3 133 780</w:t>
      </w:r>
    </w:p>
    <w:p w14:paraId="168C2178" w14:textId="004B8BE9" w:rsidR="003E1A90" w:rsidRPr="00E82D46" w:rsidRDefault="00F17297">
      <w:pPr>
        <w:jc w:val="center"/>
        <w:rPr>
          <w:lang w:val="fr-FR"/>
        </w:rPr>
      </w:pPr>
      <w:r w:rsidRPr="00E82D46">
        <w:rPr>
          <w:lang w:val="fr-FR"/>
        </w:rPr>
        <w:t> </w:t>
      </w:r>
    </w:p>
    <w:p w14:paraId="168C2179" w14:textId="411A72F2" w:rsidR="003E1A90" w:rsidRPr="00E82D46" w:rsidRDefault="00F17297">
      <w:pPr>
        <w:jc w:val="both"/>
        <w:rPr>
          <w:lang w:val="fr-FR"/>
        </w:rPr>
      </w:pPr>
      <w:r w:rsidRPr="00E82D46">
        <w:rPr>
          <w:b/>
          <w:lang w:val="fr-FR"/>
        </w:rPr>
        <w:t>Louis Vuitton Malletier</w:t>
      </w:r>
      <w:r w:rsidRPr="00E82D46">
        <w:rPr>
          <w:lang w:val="fr-FR"/>
        </w:rPr>
        <w:t>,</w:t>
      </w:r>
      <w:r w:rsidR="00542DA1" w:rsidRPr="00E82D46">
        <w:rPr>
          <w:lang w:val="fr-FR"/>
        </w:rPr>
        <w:t xml:space="preserve"> </w:t>
      </w:r>
      <w:r w:rsidRPr="00E82D46">
        <w:rPr>
          <w:lang w:val="fr-FR"/>
        </w:rPr>
        <w:t>2 rue du Pont-Neuf, 75001 Paris, France (opponent), represented by</w:t>
      </w:r>
      <w:r w:rsidR="00542DA1" w:rsidRPr="00E82D46">
        <w:rPr>
          <w:lang w:val="fr-FR"/>
        </w:rPr>
        <w:t xml:space="preserve"> </w:t>
      </w:r>
      <w:r w:rsidRPr="00E82D46">
        <w:rPr>
          <w:b/>
          <w:lang w:val="fr-FR"/>
        </w:rPr>
        <w:t>T Mark Conseils</w:t>
      </w:r>
      <w:r w:rsidRPr="00E82D46">
        <w:rPr>
          <w:lang w:val="fr-FR"/>
        </w:rPr>
        <w:t>, 9 avenue Percier, 75008 Paris, France (professional representative) </w:t>
      </w:r>
    </w:p>
    <w:p w14:paraId="168C217A" w14:textId="7922BE70" w:rsidR="003E1A90" w:rsidRPr="00E82D46" w:rsidRDefault="00F17297">
      <w:pPr>
        <w:jc w:val="both"/>
        <w:rPr>
          <w:lang w:val="fr-FR"/>
        </w:rPr>
      </w:pPr>
      <w:r w:rsidRPr="00E82D46">
        <w:rPr>
          <w:lang w:val="fr-FR"/>
        </w:rPr>
        <w:t> </w:t>
      </w:r>
    </w:p>
    <w:p w14:paraId="168C217B" w14:textId="3A328FC1" w:rsidR="003E1A90" w:rsidRPr="00E82D46" w:rsidRDefault="00F17297">
      <w:pPr>
        <w:jc w:val="center"/>
      </w:pPr>
      <w:r w:rsidRPr="00E82D46">
        <w:t>a g a</w:t>
      </w:r>
      <w:r w:rsidR="00E82D46" w:rsidRPr="00E82D46">
        <w:t xml:space="preserve"> </w:t>
      </w:r>
      <w:r w:rsidRPr="00E82D46">
        <w:t>i</w:t>
      </w:r>
      <w:r w:rsidR="00E82D46" w:rsidRPr="00E82D46">
        <w:t xml:space="preserve"> </w:t>
      </w:r>
      <w:r w:rsidRPr="00E82D46">
        <w:t>n s t</w:t>
      </w:r>
    </w:p>
    <w:p w14:paraId="168C217C" w14:textId="621DC31B" w:rsidR="003E1A90" w:rsidRPr="00E82D46" w:rsidRDefault="00F17297">
      <w:pPr>
        <w:jc w:val="center"/>
      </w:pPr>
      <w:r w:rsidRPr="00E82D46">
        <w:t> </w:t>
      </w:r>
    </w:p>
    <w:p w14:paraId="6DCE66BC" w14:textId="77777777" w:rsidR="00E82D46" w:rsidRPr="00E82D46" w:rsidRDefault="00F17297">
      <w:pPr>
        <w:jc w:val="both"/>
      </w:pPr>
      <w:r w:rsidRPr="00E82D46">
        <w:rPr>
          <w:b/>
        </w:rPr>
        <w:t>Aina Yang</w:t>
      </w:r>
      <w:r w:rsidRPr="00E82D46">
        <w:t>, Via Cairoli 54, 00185 Roma, Italy (applicant).</w:t>
      </w:r>
    </w:p>
    <w:p w14:paraId="168C217F" w14:textId="224829CB" w:rsidR="00E82D46" w:rsidRPr="00E82D46" w:rsidRDefault="00E82D46">
      <w:pPr>
        <w:jc w:val="both"/>
      </w:pPr>
    </w:p>
    <w:p w14:paraId="0246B714" w14:textId="77777777" w:rsidR="003E1A90" w:rsidRPr="00E82D46" w:rsidRDefault="00E82D46">
      <w:r w:rsidRPr="00E82D46">
        <w:t>On 14/01/2022, the Opposition Division takes the following</w:t>
      </w:r>
    </w:p>
    <w:p w14:paraId="168C2180" w14:textId="53B3833B" w:rsidR="003E1A90" w:rsidRPr="00E82D46" w:rsidRDefault="00F17297">
      <w:r w:rsidRPr="00E82D46">
        <w:t> </w:t>
      </w:r>
    </w:p>
    <w:p w14:paraId="168C2181" w14:textId="25550936" w:rsidR="003E1A90" w:rsidRPr="00E82D46" w:rsidRDefault="00F17297">
      <w:r w:rsidRPr="00E82D46">
        <w:t> </w:t>
      </w:r>
    </w:p>
    <w:p w14:paraId="168C2182" w14:textId="77777777" w:rsidR="003E1A90" w:rsidRPr="00E82D46" w:rsidRDefault="00F17297">
      <w:pPr>
        <w:jc w:val="center"/>
      </w:pPr>
      <w:r w:rsidRPr="00E82D46">
        <w:rPr>
          <w:b/>
        </w:rPr>
        <w:t>DECISION:</w:t>
      </w:r>
    </w:p>
    <w:p w14:paraId="168C2184" w14:textId="203FAEE9" w:rsidR="003E1A90" w:rsidRPr="00E82D46" w:rsidRDefault="00F17297" w:rsidP="00D205F2">
      <w:r w:rsidRPr="00E82D46">
        <w:t> </w:t>
      </w:r>
      <w:bookmarkStart w:id="1" w:name="chk-paragraph-2_nodeId-1551785101"/>
      <w:bookmarkEnd w:id="0"/>
      <w:r w:rsidRPr="00E82D46">
        <w:t> </w:t>
      </w:r>
    </w:p>
    <w:tbl>
      <w:tblPr>
        <w:tblW w:w="0" w:type="auto"/>
        <w:tblCellSpacing w:w="0" w:type="auto"/>
        <w:tblLook w:val="04A0" w:firstRow="1" w:lastRow="0" w:firstColumn="1" w:lastColumn="0" w:noHBand="0" w:noVBand="1"/>
      </w:tblPr>
      <w:tblGrid>
        <w:gridCol w:w="519"/>
        <w:gridCol w:w="8508"/>
      </w:tblGrid>
      <w:tr w:rsidR="00D820B6" w:rsidRPr="00E82D46" w14:paraId="168C2187" w14:textId="77777777">
        <w:trPr>
          <w:trHeight w:val="30"/>
          <w:tblCellSpacing w:w="0" w:type="auto"/>
        </w:trPr>
        <w:tc>
          <w:tcPr>
            <w:tcW w:w="640" w:type="dxa"/>
            <w:tcMar>
              <w:top w:w="15" w:type="dxa"/>
              <w:left w:w="15" w:type="dxa"/>
              <w:bottom w:w="15" w:type="dxa"/>
              <w:right w:w="15" w:type="dxa"/>
            </w:tcMar>
          </w:tcPr>
          <w:p w14:paraId="168C2185" w14:textId="573F5C4C" w:rsidR="003E1A90" w:rsidRPr="000E73B0" w:rsidRDefault="00F17297">
            <w:pPr>
              <w:jc w:val="both"/>
              <w:rPr>
                <w14:shadow w14:blurRad="50800" w14:dist="38100" w14:dir="2700000" w14:sx="100000" w14:sy="100000" w14:kx="0" w14:ky="0" w14:algn="tl">
                  <w14:srgbClr w14:val="000000">
                    <w14:alpha w14:val="60000"/>
                  </w14:srgbClr>
                </w14:shadow>
              </w:rPr>
            </w:pPr>
            <w:bookmarkStart w:id="2" w:name="chk-paragraph-2-4_nodeId--394182054"/>
            <w:bookmarkEnd w:id="1"/>
            <w:r w:rsidRPr="00E82D46">
              <w:rPr>
                <w:b/>
              </w:rPr>
              <w:t>  1.</w:t>
            </w:r>
          </w:p>
        </w:tc>
        <w:tc>
          <w:tcPr>
            <w:tcW w:w="13154" w:type="dxa"/>
            <w:tcMar>
              <w:top w:w="15" w:type="dxa"/>
              <w:left w:w="15" w:type="dxa"/>
              <w:bottom w:w="15" w:type="dxa"/>
              <w:right w:w="15" w:type="dxa"/>
            </w:tcMar>
          </w:tcPr>
          <w:p w14:paraId="168C2186" w14:textId="0D7F85E0" w:rsidR="003E1A90" w:rsidRPr="00E82D46" w:rsidRDefault="00F17297">
            <w:pPr>
              <w:jc w:val="both"/>
            </w:pPr>
            <w:r w:rsidRPr="00E82D46">
              <w:t>Opposition No</w:t>
            </w:r>
            <w:r w:rsidR="00E82D46" w:rsidRPr="00E82D46">
              <w:t xml:space="preserve"> </w:t>
            </w:r>
            <w:r w:rsidRPr="00E82D46">
              <w:t>B 3 133 780 is rejected in its entirety.</w:t>
            </w:r>
          </w:p>
        </w:tc>
      </w:tr>
    </w:tbl>
    <w:p w14:paraId="168C2188" w14:textId="530B565E" w:rsidR="003E1A90" w:rsidRPr="00E82D46" w:rsidRDefault="00F17297">
      <w:pPr>
        <w:jc w:val="both"/>
      </w:pPr>
      <w:r w:rsidRPr="00E82D46">
        <w:t> </w:t>
      </w:r>
    </w:p>
    <w:tbl>
      <w:tblPr>
        <w:tblW w:w="0" w:type="auto"/>
        <w:tblCellSpacing w:w="0" w:type="auto"/>
        <w:tblLook w:val="04A0" w:firstRow="1" w:lastRow="0" w:firstColumn="1" w:lastColumn="0" w:noHBand="0" w:noVBand="1"/>
      </w:tblPr>
      <w:tblGrid>
        <w:gridCol w:w="524"/>
        <w:gridCol w:w="8503"/>
      </w:tblGrid>
      <w:tr w:rsidR="00D820B6" w:rsidRPr="00E82D46" w14:paraId="168C218C" w14:textId="77777777" w:rsidTr="00D205F2">
        <w:trPr>
          <w:trHeight w:val="30"/>
          <w:tblCellSpacing w:w="0" w:type="auto"/>
        </w:trPr>
        <w:tc>
          <w:tcPr>
            <w:tcW w:w="525" w:type="dxa"/>
            <w:tcMar>
              <w:top w:w="15" w:type="dxa"/>
              <w:left w:w="15" w:type="dxa"/>
              <w:bottom w:w="15" w:type="dxa"/>
              <w:right w:w="15" w:type="dxa"/>
            </w:tcMar>
          </w:tcPr>
          <w:p w14:paraId="168C218A" w14:textId="15A2B025" w:rsidR="003E1A90" w:rsidRPr="000E73B0" w:rsidRDefault="00F17297">
            <w:pPr>
              <w:jc w:val="both"/>
              <w:rPr>
                <w14:shadow w14:blurRad="50800" w14:dist="38100" w14:dir="2700000" w14:sx="100000" w14:sy="100000" w14:kx="0" w14:ky="0" w14:algn="tl">
                  <w14:srgbClr w14:val="000000">
                    <w14:alpha w14:val="60000"/>
                  </w14:srgbClr>
                </w14:shadow>
              </w:rPr>
            </w:pPr>
            <w:bookmarkStart w:id="3" w:name="chk-paragraph-2-4-3_nodeId--648783340"/>
            <w:bookmarkEnd w:id="2"/>
            <w:r w:rsidRPr="00E82D46">
              <w:rPr>
                <w:b/>
              </w:rPr>
              <w:t>  2.</w:t>
            </w:r>
          </w:p>
        </w:tc>
        <w:tc>
          <w:tcPr>
            <w:tcW w:w="8532" w:type="dxa"/>
            <w:tcMar>
              <w:top w:w="15" w:type="dxa"/>
              <w:left w:w="15" w:type="dxa"/>
              <w:bottom w:w="15" w:type="dxa"/>
              <w:right w:w="15" w:type="dxa"/>
            </w:tcMar>
          </w:tcPr>
          <w:p w14:paraId="168C218B" w14:textId="77777777" w:rsidR="003E1A90" w:rsidRPr="00E82D46" w:rsidRDefault="00F17297">
            <w:pPr>
              <w:jc w:val="both"/>
            </w:pPr>
            <w:r w:rsidRPr="00E82D46">
              <w:t>The opponent bears the costs.</w:t>
            </w:r>
          </w:p>
        </w:tc>
      </w:tr>
    </w:tbl>
    <w:p w14:paraId="168C218D" w14:textId="0D914BFB" w:rsidR="003E1A90" w:rsidRPr="00E82D46" w:rsidRDefault="00F17297">
      <w:pPr>
        <w:jc w:val="both"/>
      </w:pPr>
      <w:r w:rsidRPr="00E82D46">
        <w:t> </w:t>
      </w:r>
    </w:p>
    <w:p w14:paraId="168C218E" w14:textId="77777777" w:rsidR="003E1A90" w:rsidRPr="00E82D46" w:rsidRDefault="003E1A90">
      <w:pPr>
        <w:spacing w:after="269"/>
      </w:pPr>
    </w:p>
    <w:p w14:paraId="168C218F" w14:textId="77777777" w:rsidR="003E1A90" w:rsidRPr="00E82D46" w:rsidRDefault="00F17297">
      <w:pPr>
        <w:jc w:val="center"/>
      </w:pPr>
      <w:bookmarkStart w:id="4" w:name="chk-paragraph-3_nodeId-1085394009"/>
      <w:bookmarkEnd w:id="3"/>
      <w:r w:rsidRPr="00E82D46">
        <w:rPr>
          <w:b/>
        </w:rPr>
        <w:t>REASONS</w:t>
      </w:r>
    </w:p>
    <w:p w14:paraId="168C2190" w14:textId="533369EA" w:rsidR="003E1A90" w:rsidRPr="00E82D46" w:rsidRDefault="00F17297">
      <w:pPr>
        <w:jc w:val="both"/>
      </w:pPr>
      <w:r w:rsidRPr="00E82D46">
        <w:t> </w:t>
      </w:r>
    </w:p>
    <w:p w14:paraId="168C2191" w14:textId="13A13F75" w:rsidR="003E1A90" w:rsidRPr="00E82D46" w:rsidRDefault="00F17297">
      <w:pPr>
        <w:jc w:val="both"/>
      </w:pPr>
      <w:r w:rsidRPr="00E82D46">
        <w:t xml:space="preserve">On 02/11/2020, the opponent filed an opposition against all the goods of European Union trade mark </w:t>
      </w:r>
      <w:r w:rsidR="00B25291" w:rsidRPr="00E82D46">
        <w:t xml:space="preserve">(EUTM) </w:t>
      </w:r>
      <w:r w:rsidRPr="00E82D46">
        <w:t>application No</w:t>
      </w:r>
      <w:r w:rsidR="00D205F2" w:rsidRPr="00E82D46">
        <w:t> </w:t>
      </w:r>
      <w:r w:rsidRPr="00E82D46">
        <w:t xml:space="preserve">18 306 124 </w:t>
      </w:r>
      <w:r w:rsidRPr="00E82D46">
        <w:rPr>
          <w:noProof/>
        </w:rPr>
        <w:drawing>
          <wp:inline distT="0" distB="0" distL="0" distR="0" wp14:anchorId="168C22C6" wp14:editId="254E5825">
            <wp:extent cx="1670145" cy="8740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6653" cy="887915"/>
                    </a:xfrm>
                    <a:prstGeom prst="rect">
                      <a:avLst/>
                    </a:prstGeom>
                  </pic:spPr>
                </pic:pic>
              </a:graphicData>
            </a:graphic>
          </wp:inline>
        </w:drawing>
      </w:r>
      <w:r w:rsidRPr="00E82D46">
        <w:t xml:space="preserve"> (figurative mark). The opposition is based on EUTM registration No</w:t>
      </w:r>
      <w:r w:rsidR="0058083E" w:rsidRPr="00E82D46">
        <w:t> </w:t>
      </w:r>
      <w:r w:rsidRPr="00E82D46">
        <w:t>15 628</w:t>
      </w:r>
      <w:r w:rsidR="00C811AA" w:rsidRPr="00E82D46">
        <w:t>, for which the opponent invoked Article</w:t>
      </w:r>
      <w:r w:rsidR="00BB7312" w:rsidRPr="00E82D46">
        <w:t> </w:t>
      </w:r>
      <w:r w:rsidR="00C811AA" w:rsidRPr="00E82D46">
        <w:t>8(1)(b) EUTMR</w:t>
      </w:r>
      <w:r w:rsidRPr="00E82D46">
        <w:t xml:space="preserve"> and</w:t>
      </w:r>
      <w:r w:rsidR="00C811AA" w:rsidRPr="00E82D46">
        <w:t xml:space="preserve"> Article</w:t>
      </w:r>
      <w:r w:rsidR="00BB7312" w:rsidRPr="00E82D46">
        <w:t> </w:t>
      </w:r>
      <w:r w:rsidR="00C811AA" w:rsidRPr="00E82D46">
        <w:t>8(5) EUTMR</w:t>
      </w:r>
      <w:r w:rsidRPr="00E82D46">
        <w:t>,</w:t>
      </w:r>
      <w:r w:rsidR="00C811AA" w:rsidRPr="00E82D46">
        <w:t xml:space="preserve"> </w:t>
      </w:r>
      <w:r w:rsidR="0058083E" w:rsidRPr="00E82D46">
        <w:t>and</w:t>
      </w:r>
      <w:r w:rsidRPr="00E82D46">
        <w:t xml:space="preserve"> </w:t>
      </w:r>
      <w:bookmarkStart w:id="5" w:name="_Hlk92711202"/>
      <w:r w:rsidRPr="00E82D46">
        <w:t xml:space="preserve">international trade mark registration designating </w:t>
      </w:r>
      <w:r w:rsidR="0058083E" w:rsidRPr="00E82D46">
        <w:t xml:space="preserve">the </w:t>
      </w:r>
      <w:r w:rsidRPr="00E82D46">
        <w:t>E</w:t>
      </w:r>
      <w:r w:rsidR="0058083E" w:rsidRPr="00E82D46">
        <w:t xml:space="preserve">uropean </w:t>
      </w:r>
      <w:r w:rsidRPr="00E82D46">
        <w:t>U</w:t>
      </w:r>
      <w:r w:rsidR="0058083E" w:rsidRPr="00E82D46">
        <w:t>nion</w:t>
      </w:r>
      <w:r w:rsidRPr="00E82D46">
        <w:t xml:space="preserve"> No</w:t>
      </w:r>
      <w:r w:rsidR="0058083E" w:rsidRPr="00E82D46">
        <w:t> </w:t>
      </w:r>
      <w:r w:rsidRPr="00E82D46">
        <w:t>1 127 687,</w:t>
      </w:r>
      <w:r w:rsidR="00C811AA" w:rsidRPr="00E82D46">
        <w:t xml:space="preserve"> for which t</w:t>
      </w:r>
      <w:r w:rsidRPr="00E82D46">
        <w:t>he opponent invoked Article</w:t>
      </w:r>
      <w:r w:rsidR="00C811AA" w:rsidRPr="00E82D46">
        <w:t> </w:t>
      </w:r>
      <w:r w:rsidRPr="00E82D46">
        <w:t>8(1)(a) EUTMR and Article</w:t>
      </w:r>
      <w:r w:rsidR="00C811AA" w:rsidRPr="00E82D46">
        <w:t> </w:t>
      </w:r>
      <w:r w:rsidRPr="00E82D46">
        <w:t>8(5) EUTMR</w:t>
      </w:r>
      <w:bookmarkEnd w:id="5"/>
      <w:r w:rsidR="00D1597A" w:rsidRPr="00E82D46">
        <w:t xml:space="preserve"> </w:t>
      </w:r>
      <w:r w:rsidR="002E5270" w:rsidRPr="00E82D46">
        <w:t>–</w:t>
      </w:r>
      <w:r w:rsidR="00D1597A" w:rsidRPr="00E82D46">
        <w:t xml:space="preserve"> both</w:t>
      </w:r>
      <w:r w:rsidR="002E5270" w:rsidRPr="00E82D46">
        <w:t xml:space="preserve"> registered</w:t>
      </w:r>
      <w:r w:rsidR="00D1597A" w:rsidRPr="00E82D46">
        <w:t xml:space="preserve"> for the figurative mark </w:t>
      </w:r>
      <w:r w:rsidR="00D1597A" w:rsidRPr="00E82D46">
        <w:rPr>
          <w:noProof/>
        </w:rPr>
        <w:drawing>
          <wp:inline distT="0" distB="0" distL="0" distR="0" wp14:anchorId="0D824CE2" wp14:editId="5ACC3871">
            <wp:extent cx="802254" cy="8214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23198" cy="842866"/>
                    </a:xfrm>
                    <a:prstGeom prst="rect">
                      <a:avLst/>
                    </a:prstGeom>
                  </pic:spPr>
                </pic:pic>
              </a:graphicData>
            </a:graphic>
          </wp:inline>
        </w:drawing>
      </w:r>
      <w:r w:rsidRPr="00E82D46">
        <w:t>.</w:t>
      </w:r>
    </w:p>
    <w:p w14:paraId="37AD50BC" w14:textId="7CFDED21" w:rsidR="00E70922" w:rsidRPr="00E82D46" w:rsidRDefault="00E70922" w:rsidP="00F94FBB">
      <w:pPr>
        <w:jc w:val="both"/>
      </w:pPr>
    </w:p>
    <w:p w14:paraId="168C219B" w14:textId="66FF2103" w:rsidR="003E1A90" w:rsidRPr="00E82D46" w:rsidRDefault="00F17297" w:rsidP="00F94FBB">
      <w:pPr>
        <w:jc w:val="both"/>
      </w:pPr>
      <w:r w:rsidRPr="00E82D46">
        <w:t> </w:t>
      </w:r>
      <w:bookmarkStart w:id="6" w:name="chk-paragraph-8_nodeId--1671418853"/>
      <w:bookmarkEnd w:id="4"/>
      <w:r w:rsidRPr="00E82D46">
        <w:t xml:space="preserve">   </w:t>
      </w:r>
    </w:p>
    <w:p w14:paraId="168C219C" w14:textId="77777777" w:rsidR="003E1A90" w:rsidRPr="00E82D46" w:rsidRDefault="00F17297">
      <w:pPr>
        <w:jc w:val="both"/>
      </w:pPr>
      <w:bookmarkStart w:id="7" w:name="chk-paragraph-8-2_nodeId--1128870563"/>
      <w:bookmarkEnd w:id="6"/>
      <w:r w:rsidRPr="00E82D46">
        <w:rPr>
          <w:b/>
        </w:rPr>
        <w:t>LIKELIHOOD OF CONFUSION — ARTICLE 8(1)(b) EUTMR</w:t>
      </w:r>
    </w:p>
    <w:p w14:paraId="168C219D" w14:textId="41797B71" w:rsidR="003E1A90" w:rsidRPr="00E82D46" w:rsidRDefault="00F17297">
      <w:pPr>
        <w:jc w:val="both"/>
      </w:pPr>
      <w:r w:rsidRPr="00E82D46">
        <w:t> </w:t>
      </w:r>
    </w:p>
    <w:p w14:paraId="168C219E" w14:textId="2511CBFE" w:rsidR="003E1A90" w:rsidRPr="00E82D46" w:rsidRDefault="00F17297">
      <w:pPr>
        <w:jc w:val="both"/>
      </w:pPr>
      <w:r w:rsidRPr="00E82D46">
        <w:t>A likelihood of confusion exists if there is a risk that the public might believe that the goods or services in question, under the assumption that they bear the marks in question, come from the same undertaking or, as the case may be, from economically linked undertakings. Whether a likelihood of confusion exists depends on the appreciation in a global assessment of several factors, which are interdependent. These factors include the similarity of the signs, the similarity of the goods and services, the distinctiveness of the earlier mark, the distinctive and dominant elements of the conflicting signs, and the relevant public.</w:t>
      </w:r>
    </w:p>
    <w:p w14:paraId="36CB8A3E" w14:textId="3983447D" w:rsidR="0008200C" w:rsidRPr="00E82D46" w:rsidRDefault="0008200C">
      <w:pPr>
        <w:jc w:val="both"/>
      </w:pPr>
    </w:p>
    <w:p w14:paraId="7BE752B0" w14:textId="7BAF93C5" w:rsidR="0008200C" w:rsidRPr="00E82D46" w:rsidRDefault="0008200C" w:rsidP="00C07291">
      <w:pPr>
        <w:pStyle w:val="ui-droppable"/>
        <w:spacing w:before="0" w:beforeAutospacing="0" w:after="0" w:afterAutospacing="0"/>
        <w:jc w:val="both"/>
        <w:rPr>
          <w:rStyle w:val="defaultparagraphfont"/>
          <w:rFonts w:ascii="Arial" w:eastAsiaTheme="majorEastAsia" w:hAnsi="Arial" w:cs="Arial"/>
          <w:sz w:val="22"/>
          <w:szCs w:val="22"/>
        </w:rPr>
      </w:pPr>
      <w:r w:rsidRPr="00E82D46">
        <w:rPr>
          <w:rStyle w:val="defaultparagraphfont"/>
          <w:rFonts w:ascii="Arial" w:eastAsiaTheme="majorEastAsia" w:hAnsi="Arial" w:cs="Arial"/>
          <w:sz w:val="22"/>
          <w:szCs w:val="22"/>
        </w:rPr>
        <w:t>The opponent invoked Article</w:t>
      </w:r>
      <w:r w:rsidR="004F2E20" w:rsidRPr="00E82D46">
        <w:rPr>
          <w:rStyle w:val="defaultparagraphfont"/>
          <w:rFonts w:ascii="Arial" w:eastAsiaTheme="majorEastAsia" w:hAnsi="Arial" w:cs="Arial"/>
          <w:sz w:val="22"/>
          <w:szCs w:val="22"/>
        </w:rPr>
        <w:t> </w:t>
      </w:r>
      <w:r w:rsidRPr="00E82D46">
        <w:rPr>
          <w:rStyle w:val="defaultparagraphfont"/>
          <w:rFonts w:ascii="Arial" w:eastAsiaTheme="majorEastAsia" w:hAnsi="Arial" w:cs="Arial"/>
          <w:sz w:val="22"/>
          <w:szCs w:val="22"/>
        </w:rPr>
        <w:t xml:space="preserve">8(1)(b) EUTMR in relation to </w:t>
      </w:r>
      <w:r w:rsidRPr="00E82D46">
        <w:rPr>
          <w:rFonts w:ascii="Arial" w:eastAsiaTheme="majorEastAsia" w:hAnsi="Arial" w:cs="Arial"/>
          <w:sz w:val="22"/>
          <w:szCs w:val="22"/>
        </w:rPr>
        <w:t xml:space="preserve">EUTM registration No 15 628 and </w:t>
      </w:r>
      <w:r w:rsidRPr="00E82D46">
        <w:rPr>
          <w:rStyle w:val="defaultparagraphfont"/>
          <w:rFonts w:ascii="Arial" w:eastAsiaTheme="majorEastAsia" w:hAnsi="Arial" w:cs="Arial"/>
          <w:sz w:val="22"/>
          <w:szCs w:val="22"/>
        </w:rPr>
        <w:t>Article</w:t>
      </w:r>
      <w:r w:rsidR="004F2E20" w:rsidRPr="00E82D46">
        <w:rPr>
          <w:rStyle w:val="defaultparagraphfont"/>
          <w:rFonts w:ascii="Arial" w:eastAsiaTheme="majorEastAsia" w:hAnsi="Arial" w:cs="Arial"/>
          <w:sz w:val="22"/>
          <w:szCs w:val="22"/>
        </w:rPr>
        <w:t> </w:t>
      </w:r>
      <w:r w:rsidRPr="00E82D46">
        <w:rPr>
          <w:rStyle w:val="defaultparagraphfont"/>
          <w:rFonts w:ascii="Arial" w:eastAsiaTheme="majorEastAsia" w:hAnsi="Arial" w:cs="Arial"/>
          <w:sz w:val="22"/>
          <w:szCs w:val="22"/>
        </w:rPr>
        <w:t xml:space="preserve">8(1)(a) EUTMR in relation to </w:t>
      </w:r>
      <w:r w:rsidRPr="00E82D46">
        <w:rPr>
          <w:rFonts w:ascii="Arial" w:eastAsiaTheme="majorEastAsia" w:hAnsi="Arial" w:cs="Arial"/>
          <w:sz w:val="22"/>
          <w:szCs w:val="22"/>
        </w:rPr>
        <w:t xml:space="preserve">international trade mark registration designating the </w:t>
      </w:r>
      <w:r w:rsidRPr="00E82D46">
        <w:rPr>
          <w:rFonts w:ascii="Arial" w:eastAsiaTheme="majorEastAsia" w:hAnsi="Arial" w:cs="Arial"/>
          <w:sz w:val="22"/>
          <w:szCs w:val="22"/>
        </w:rPr>
        <w:lastRenderedPageBreak/>
        <w:t>European Union No 1 127 687</w:t>
      </w:r>
      <w:r w:rsidR="004F2E20" w:rsidRPr="00E82D46">
        <w:rPr>
          <w:rStyle w:val="defaultparagraphfont"/>
          <w:rFonts w:ascii="Arial" w:eastAsiaTheme="majorEastAsia" w:hAnsi="Arial" w:cs="Arial"/>
          <w:sz w:val="22"/>
          <w:szCs w:val="22"/>
        </w:rPr>
        <w:t>. Article 8(1)(b) EUTMR</w:t>
      </w:r>
      <w:r w:rsidRPr="00E82D46">
        <w:rPr>
          <w:rStyle w:val="defaultparagraphfont"/>
          <w:rFonts w:ascii="Arial" w:eastAsiaTheme="majorEastAsia" w:hAnsi="Arial" w:cs="Arial"/>
          <w:sz w:val="22"/>
          <w:szCs w:val="22"/>
        </w:rPr>
        <w:t xml:space="preserve"> covers situations where there may be a likelihood of confusion due to similarity between the signs and the goods/services, or identity of only one of these two factors. Article</w:t>
      </w:r>
      <w:r w:rsidR="004F2E20" w:rsidRPr="00E82D46">
        <w:rPr>
          <w:rStyle w:val="defaultparagraphfont"/>
          <w:rFonts w:ascii="Arial" w:eastAsiaTheme="majorEastAsia" w:hAnsi="Arial" w:cs="Arial"/>
          <w:sz w:val="22"/>
          <w:szCs w:val="22"/>
        </w:rPr>
        <w:t> </w:t>
      </w:r>
      <w:r w:rsidRPr="00E82D46">
        <w:rPr>
          <w:rStyle w:val="defaultparagraphfont"/>
          <w:rFonts w:ascii="Arial" w:eastAsiaTheme="majorEastAsia" w:hAnsi="Arial" w:cs="Arial"/>
          <w:sz w:val="22"/>
          <w:szCs w:val="22"/>
        </w:rPr>
        <w:t>8(1)(a) EUTMR covers situations where there is a so-called double identity, namely identity of the signs and of the goods and services.</w:t>
      </w:r>
      <w:r w:rsidR="001A21C5" w:rsidRPr="00E82D46">
        <w:rPr>
          <w:rStyle w:val="defaultparagraphfont"/>
          <w:rFonts w:ascii="Arial" w:eastAsiaTheme="majorEastAsia" w:hAnsi="Arial" w:cs="Arial"/>
          <w:sz w:val="22"/>
          <w:szCs w:val="22"/>
        </w:rPr>
        <w:t xml:space="preserve"> </w:t>
      </w:r>
      <w:r w:rsidR="00C07291" w:rsidRPr="00E82D46">
        <w:rPr>
          <w:rStyle w:val="defaultparagraphfont"/>
          <w:rFonts w:ascii="Arial" w:eastAsiaTheme="majorEastAsia" w:hAnsi="Arial" w:cs="Arial"/>
          <w:sz w:val="22"/>
          <w:szCs w:val="22"/>
        </w:rPr>
        <w:t>Although the specific conditions under Articl</w:t>
      </w:r>
      <w:r w:rsidR="001A21C5" w:rsidRPr="00E82D46">
        <w:rPr>
          <w:rStyle w:val="defaultparagraphfont"/>
          <w:rFonts w:ascii="Arial" w:eastAsiaTheme="majorEastAsia" w:hAnsi="Arial" w:cs="Arial"/>
          <w:sz w:val="22"/>
          <w:szCs w:val="22"/>
        </w:rPr>
        <w:t>e</w:t>
      </w:r>
      <w:r w:rsidR="001A21C5" w:rsidRPr="00E82D46">
        <w:rPr>
          <w:rFonts w:eastAsiaTheme="majorEastAsia"/>
        </w:rPr>
        <w:t> </w:t>
      </w:r>
      <w:r w:rsidR="00C07291" w:rsidRPr="00E82D46">
        <w:rPr>
          <w:rStyle w:val="defaultparagraphfont"/>
          <w:rFonts w:ascii="Arial" w:eastAsiaTheme="majorEastAsia" w:hAnsi="Arial" w:cs="Arial"/>
          <w:sz w:val="22"/>
          <w:szCs w:val="22"/>
        </w:rPr>
        <w:t>8(1)(a) and (b) EUTMR differ, they are related. Consequently, if Article</w:t>
      </w:r>
      <w:r w:rsidR="001A21C5" w:rsidRPr="00E82D46">
        <w:rPr>
          <w:rStyle w:val="defaultparagraphfont"/>
          <w:rFonts w:ascii="Arial" w:eastAsiaTheme="majorEastAsia" w:hAnsi="Arial" w:cs="Arial"/>
          <w:sz w:val="22"/>
          <w:szCs w:val="22"/>
        </w:rPr>
        <w:t> </w:t>
      </w:r>
      <w:r w:rsidR="00C07291" w:rsidRPr="00E82D46">
        <w:rPr>
          <w:rStyle w:val="defaultparagraphfont"/>
          <w:rFonts w:ascii="Arial" w:eastAsiaTheme="majorEastAsia" w:hAnsi="Arial" w:cs="Arial"/>
          <w:sz w:val="22"/>
          <w:szCs w:val="22"/>
        </w:rPr>
        <w:t>8(1)(a) EUTMR is the only ground claimed but identity between the signs and/or the goods/services cannot be established, the Office will still examine the case under Article</w:t>
      </w:r>
      <w:r w:rsidR="001A21C5" w:rsidRPr="00E82D46">
        <w:rPr>
          <w:rStyle w:val="defaultparagraphfont"/>
          <w:rFonts w:ascii="Arial" w:eastAsiaTheme="majorEastAsia" w:hAnsi="Arial" w:cs="Arial"/>
          <w:sz w:val="22"/>
          <w:szCs w:val="22"/>
        </w:rPr>
        <w:t> </w:t>
      </w:r>
      <w:r w:rsidR="00C07291" w:rsidRPr="00E82D46">
        <w:rPr>
          <w:rStyle w:val="defaultparagraphfont"/>
          <w:rFonts w:ascii="Arial" w:eastAsiaTheme="majorEastAsia" w:hAnsi="Arial" w:cs="Arial"/>
          <w:sz w:val="22"/>
          <w:szCs w:val="22"/>
        </w:rPr>
        <w:t>8(1)(b) EUTMR, which requires at least similarity between signs and goods/services and a likelihood of confusion. Similarity covers situations where both marks and goods/services are similar and also situations where the marks are identical and the goods/services are similar or vice versa.</w:t>
      </w:r>
      <w:r w:rsidR="0042668C" w:rsidRPr="00E82D46">
        <w:rPr>
          <w:rStyle w:val="defaultparagraphfont"/>
          <w:rFonts w:ascii="Arial" w:eastAsiaTheme="majorEastAsia" w:hAnsi="Arial" w:cs="Arial"/>
          <w:sz w:val="22"/>
          <w:szCs w:val="22"/>
        </w:rPr>
        <w:t xml:space="preserve"> </w:t>
      </w:r>
      <w:r w:rsidR="00C07291" w:rsidRPr="00E82D46">
        <w:rPr>
          <w:rStyle w:val="defaultparagraphfont"/>
          <w:rFonts w:ascii="Arial" w:eastAsiaTheme="majorEastAsia" w:hAnsi="Arial" w:cs="Arial"/>
          <w:sz w:val="22"/>
          <w:szCs w:val="22"/>
        </w:rPr>
        <w:t>Likewise, an opposition based only on Article</w:t>
      </w:r>
      <w:r w:rsidR="0042668C" w:rsidRPr="00E82D46">
        <w:rPr>
          <w:rStyle w:val="defaultparagraphfont"/>
          <w:rFonts w:ascii="Arial" w:eastAsiaTheme="majorEastAsia" w:hAnsi="Arial" w:cs="Arial"/>
          <w:sz w:val="22"/>
          <w:szCs w:val="22"/>
        </w:rPr>
        <w:t> </w:t>
      </w:r>
      <w:r w:rsidR="00C07291" w:rsidRPr="00E82D46">
        <w:rPr>
          <w:rStyle w:val="defaultparagraphfont"/>
          <w:rFonts w:ascii="Arial" w:eastAsiaTheme="majorEastAsia" w:hAnsi="Arial" w:cs="Arial"/>
          <w:sz w:val="22"/>
          <w:szCs w:val="22"/>
        </w:rPr>
        <w:t>8(1)(b) EUTMR that meets the requirements of Article</w:t>
      </w:r>
      <w:r w:rsidR="0042668C" w:rsidRPr="00E82D46">
        <w:rPr>
          <w:rStyle w:val="defaultparagraphfont"/>
          <w:rFonts w:ascii="Arial" w:eastAsiaTheme="majorEastAsia" w:hAnsi="Arial" w:cs="Arial"/>
          <w:sz w:val="22"/>
          <w:szCs w:val="22"/>
        </w:rPr>
        <w:t> </w:t>
      </w:r>
      <w:r w:rsidR="00C07291" w:rsidRPr="00E82D46">
        <w:rPr>
          <w:rStyle w:val="defaultparagraphfont"/>
          <w:rFonts w:ascii="Arial" w:eastAsiaTheme="majorEastAsia" w:hAnsi="Arial" w:cs="Arial"/>
          <w:sz w:val="22"/>
          <w:szCs w:val="22"/>
        </w:rPr>
        <w:t>8(1)(a) EUTMR will be dealt with under the latter provision without any examination under Article</w:t>
      </w:r>
      <w:r w:rsidR="0042668C" w:rsidRPr="00E82D46">
        <w:rPr>
          <w:rStyle w:val="defaultparagraphfont"/>
          <w:rFonts w:ascii="Arial" w:eastAsiaTheme="majorEastAsia" w:hAnsi="Arial" w:cs="Arial"/>
          <w:sz w:val="22"/>
          <w:szCs w:val="22"/>
        </w:rPr>
        <w:t> </w:t>
      </w:r>
      <w:r w:rsidR="00C07291" w:rsidRPr="00E82D46">
        <w:rPr>
          <w:rStyle w:val="defaultparagraphfont"/>
          <w:rFonts w:ascii="Arial" w:eastAsiaTheme="majorEastAsia" w:hAnsi="Arial" w:cs="Arial"/>
          <w:sz w:val="22"/>
          <w:szCs w:val="22"/>
        </w:rPr>
        <w:t>8(1)(b) EUTMR.</w:t>
      </w:r>
    </w:p>
    <w:p w14:paraId="2DD43CD2" w14:textId="422E052D" w:rsidR="001C0124" w:rsidRPr="00E82D46" w:rsidRDefault="001C0124" w:rsidP="00C07291">
      <w:pPr>
        <w:pStyle w:val="ui-droppable"/>
        <w:spacing w:before="0" w:beforeAutospacing="0" w:after="0" w:afterAutospacing="0"/>
        <w:jc w:val="both"/>
        <w:rPr>
          <w:rStyle w:val="defaultparagraphfont"/>
          <w:rFonts w:ascii="Arial" w:eastAsiaTheme="majorEastAsia" w:hAnsi="Arial" w:cs="Arial"/>
          <w:sz w:val="22"/>
          <w:szCs w:val="22"/>
        </w:rPr>
      </w:pPr>
    </w:p>
    <w:p w14:paraId="7A8974B9" w14:textId="31B39F36" w:rsidR="001C0124" w:rsidRPr="00E82D46" w:rsidRDefault="001C0124" w:rsidP="00C07291">
      <w:pPr>
        <w:pStyle w:val="ui-droppable"/>
        <w:spacing w:before="0" w:beforeAutospacing="0" w:after="0" w:afterAutospacing="0"/>
        <w:jc w:val="both"/>
      </w:pPr>
      <w:r w:rsidRPr="00E82D46">
        <w:rPr>
          <w:rStyle w:val="defaultparagraphfont"/>
          <w:rFonts w:ascii="Arial" w:eastAsiaTheme="majorEastAsia" w:hAnsi="Arial" w:cs="Arial"/>
          <w:sz w:val="22"/>
          <w:szCs w:val="22"/>
        </w:rPr>
        <w:t xml:space="preserve">Therefore, the Opposition Division will first examine the opposition in relation to both earlier </w:t>
      </w:r>
      <w:r w:rsidR="00E13CF5" w:rsidRPr="00E82D46">
        <w:rPr>
          <w:rStyle w:val="defaultparagraphfont"/>
          <w:rFonts w:ascii="Arial" w:eastAsiaTheme="majorEastAsia" w:hAnsi="Arial" w:cs="Arial"/>
          <w:sz w:val="22"/>
          <w:szCs w:val="22"/>
        </w:rPr>
        <w:t xml:space="preserve">trade </w:t>
      </w:r>
      <w:r w:rsidRPr="00E82D46">
        <w:rPr>
          <w:rStyle w:val="defaultparagraphfont"/>
          <w:rFonts w:ascii="Arial" w:eastAsiaTheme="majorEastAsia" w:hAnsi="Arial" w:cs="Arial"/>
          <w:sz w:val="22"/>
          <w:szCs w:val="22"/>
        </w:rPr>
        <w:t>marks</w:t>
      </w:r>
      <w:r w:rsidR="00101073" w:rsidRPr="00E82D46">
        <w:rPr>
          <w:rStyle w:val="defaultparagraphfont"/>
          <w:rFonts w:ascii="Arial" w:eastAsiaTheme="majorEastAsia" w:hAnsi="Arial" w:cs="Arial"/>
          <w:sz w:val="22"/>
          <w:szCs w:val="22"/>
        </w:rPr>
        <w:t xml:space="preserve"> (which, for ease of reference will be referred </w:t>
      </w:r>
      <w:r w:rsidR="00E8273B" w:rsidRPr="00E82D46">
        <w:rPr>
          <w:rStyle w:val="defaultparagraphfont"/>
          <w:rFonts w:ascii="Arial" w:eastAsiaTheme="majorEastAsia" w:hAnsi="Arial" w:cs="Arial"/>
          <w:sz w:val="22"/>
          <w:szCs w:val="22"/>
        </w:rPr>
        <w:t xml:space="preserve">in singular </w:t>
      </w:r>
      <w:r w:rsidR="00101073" w:rsidRPr="00E82D46">
        <w:rPr>
          <w:rStyle w:val="defaultparagraphfont"/>
          <w:rFonts w:ascii="Arial" w:eastAsiaTheme="majorEastAsia" w:hAnsi="Arial" w:cs="Arial"/>
          <w:sz w:val="22"/>
          <w:szCs w:val="22"/>
        </w:rPr>
        <w:t xml:space="preserve">to as the ‘earlier </w:t>
      </w:r>
      <w:r w:rsidR="00E13CF5" w:rsidRPr="00E82D46">
        <w:rPr>
          <w:rStyle w:val="defaultparagraphfont"/>
          <w:rFonts w:ascii="Arial" w:eastAsiaTheme="majorEastAsia" w:hAnsi="Arial" w:cs="Arial"/>
          <w:sz w:val="22"/>
          <w:szCs w:val="22"/>
        </w:rPr>
        <w:t xml:space="preserve">trade </w:t>
      </w:r>
      <w:r w:rsidR="00101073" w:rsidRPr="00E82D46">
        <w:rPr>
          <w:rStyle w:val="defaultparagraphfont"/>
          <w:rFonts w:ascii="Arial" w:eastAsiaTheme="majorEastAsia" w:hAnsi="Arial" w:cs="Arial"/>
          <w:sz w:val="22"/>
          <w:szCs w:val="22"/>
        </w:rPr>
        <w:t>mark’)</w:t>
      </w:r>
      <w:r w:rsidRPr="00E82D46">
        <w:rPr>
          <w:rStyle w:val="defaultparagraphfont"/>
          <w:rFonts w:ascii="Arial" w:eastAsiaTheme="majorEastAsia" w:hAnsi="Arial" w:cs="Arial"/>
          <w:sz w:val="22"/>
          <w:szCs w:val="22"/>
        </w:rPr>
        <w:t xml:space="preserve"> under Article 8(1)(b) EUTMR. </w:t>
      </w:r>
    </w:p>
    <w:p w14:paraId="168C219F" w14:textId="51385AAF" w:rsidR="003E1A90" w:rsidRPr="00E82D46" w:rsidRDefault="00F17297">
      <w:pPr>
        <w:jc w:val="both"/>
      </w:pPr>
      <w:r w:rsidRPr="00E82D46">
        <w:t> </w:t>
      </w:r>
    </w:p>
    <w:p w14:paraId="168C21A9" w14:textId="4B529F5C" w:rsidR="003E1A90" w:rsidRPr="00E82D46" w:rsidRDefault="00F17297">
      <w:pPr>
        <w:jc w:val="both"/>
      </w:pPr>
      <w:r w:rsidRPr="00E82D46">
        <w:rPr>
          <w:rFonts w:ascii="Segoe UI" w:hAnsi="Segoe UI"/>
        </w:rPr>
        <w:t> </w:t>
      </w:r>
    </w:p>
    <w:p w14:paraId="168C21AA" w14:textId="2D1DDFAB" w:rsidR="003E1A90" w:rsidRPr="00E82D46" w:rsidRDefault="00F17297">
      <w:pPr>
        <w:jc w:val="both"/>
      </w:pPr>
      <w:bookmarkStart w:id="8" w:name="chk-paragraph-8-2-1_nodeId-537559823"/>
      <w:bookmarkEnd w:id="7"/>
      <w:r w:rsidRPr="00E82D46">
        <w:rPr>
          <w:b/>
        </w:rPr>
        <w:t>a) The</w:t>
      </w:r>
      <w:r w:rsidR="008462E1" w:rsidRPr="00E82D46">
        <w:rPr>
          <w:b/>
        </w:rPr>
        <w:t xml:space="preserve"> </w:t>
      </w:r>
      <w:r w:rsidRPr="00E82D46">
        <w:rPr>
          <w:b/>
        </w:rPr>
        <w:t>goods</w:t>
      </w:r>
    </w:p>
    <w:p w14:paraId="168C21AB" w14:textId="05BDA322" w:rsidR="003E1A90" w:rsidRPr="00E82D46" w:rsidRDefault="00F17297">
      <w:pPr>
        <w:jc w:val="both"/>
      </w:pPr>
      <w:r w:rsidRPr="00E82D46">
        <w:t> </w:t>
      </w:r>
    </w:p>
    <w:p w14:paraId="168C21AC" w14:textId="66F57DFE" w:rsidR="003E1A90" w:rsidRPr="00E82D46" w:rsidRDefault="00F17297">
      <w:pPr>
        <w:jc w:val="both"/>
      </w:pPr>
      <w:r w:rsidRPr="00E82D46">
        <w:t>The</w:t>
      </w:r>
      <w:r w:rsidR="008462E1" w:rsidRPr="00E82D46">
        <w:t xml:space="preserve"> </w:t>
      </w:r>
      <w:r w:rsidRPr="00E82D46">
        <w:t>goods</w:t>
      </w:r>
      <w:r w:rsidR="008462E1" w:rsidRPr="00E82D46">
        <w:rPr>
          <w:b/>
        </w:rPr>
        <w:t xml:space="preserve"> </w:t>
      </w:r>
      <w:r w:rsidRPr="00E82D46">
        <w:t>on which the opposition is based are the following:</w:t>
      </w:r>
    </w:p>
    <w:p w14:paraId="168C21AD" w14:textId="36AABD8C" w:rsidR="003E1A90" w:rsidRPr="00E82D46" w:rsidRDefault="00F17297">
      <w:pPr>
        <w:jc w:val="both"/>
      </w:pPr>
      <w:r w:rsidRPr="00E82D46">
        <w:t> </w:t>
      </w:r>
    </w:p>
    <w:p w14:paraId="168C21AF" w14:textId="0AB0F181" w:rsidR="003E1A90" w:rsidRPr="00E82D46" w:rsidRDefault="00F17297" w:rsidP="000A4624">
      <w:pPr>
        <w:spacing w:after="269"/>
        <w:jc w:val="both"/>
        <w:rPr>
          <w:u w:val="single"/>
        </w:rPr>
      </w:pPr>
      <w:r w:rsidRPr="00E82D46">
        <w:rPr>
          <w:u w:val="single"/>
        </w:rPr>
        <w:t>EUTM registration No</w:t>
      </w:r>
      <w:r w:rsidR="003C4DB9" w:rsidRPr="00E82D46">
        <w:rPr>
          <w:u w:val="single"/>
        </w:rPr>
        <w:t> </w:t>
      </w:r>
      <w:r w:rsidRPr="00E82D46">
        <w:rPr>
          <w:u w:val="single"/>
        </w:rPr>
        <w:t>15 628</w:t>
      </w:r>
    </w:p>
    <w:p w14:paraId="168C21B0" w14:textId="0A6E374F" w:rsidR="003E1A90" w:rsidRPr="00E82D46" w:rsidRDefault="00F17297" w:rsidP="000A4624">
      <w:pPr>
        <w:spacing w:after="269"/>
        <w:jc w:val="both"/>
      </w:pPr>
      <w:r w:rsidRPr="00E82D46">
        <w:t>Class</w:t>
      </w:r>
      <w:r w:rsidR="000A4624" w:rsidRPr="00E82D46">
        <w:t> </w:t>
      </w:r>
      <w:r w:rsidRPr="00E82D46">
        <w:t xml:space="preserve">25: </w:t>
      </w:r>
      <w:r w:rsidRPr="00E82D46">
        <w:rPr>
          <w:i/>
        </w:rPr>
        <w:t>Clothing, underwear and other clothing articles, in particular sweaters, shirts, dress bodies, corsets, suits, waistcoats, waterproofs clothing, skirts, coats, pullovers, trousers, dresses, clothing jackets, shawls, stoles, sashes for wear, scarves, neck ties, ties, pocket handkerchiefs for wear, braces, clothing gloves, clothing belts, stocking, tights, socks, bathing suits, bath robes; footwear; headgear for wear.</w:t>
      </w:r>
    </w:p>
    <w:p w14:paraId="168C21B3" w14:textId="1677199E" w:rsidR="003E1A90" w:rsidRPr="00E82D46" w:rsidRDefault="00BB5060" w:rsidP="000A4624">
      <w:pPr>
        <w:spacing w:after="269"/>
        <w:jc w:val="both"/>
        <w:rPr>
          <w:u w:val="single"/>
        </w:rPr>
      </w:pPr>
      <w:r w:rsidRPr="00E82D46">
        <w:rPr>
          <w:u w:val="single"/>
        </w:rPr>
        <w:t>I</w:t>
      </w:r>
      <w:r w:rsidR="00F17297" w:rsidRPr="00E82D46">
        <w:rPr>
          <w:u w:val="single"/>
        </w:rPr>
        <w:t xml:space="preserve">nternational trade mark registration designating </w:t>
      </w:r>
      <w:r w:rsidR="001205D5" w:rsidRPr="00E82D46">
        <w:rPr>
          <w:u w:val="single"/>
        </w:rPr>
        <w:t xml:space="preserve">the European Union </w:t>
      </w:r>
      <w:r w:rsidR="00F17297" w:rsidRPr="00E82D46">
        <w:rPr>
          <w:u w:val="single"/>
        </w:rPr>
        <w:t>No</w:t>
      </w:r>
      <w:r w:rsidR="006B2257" w:rsidRPr="00E82D46">
        <w:rPr>
          <w:u w:val="single"/>
        </w:rPr>
        <w:t> </w:t>
      </w:r>
      <w:r w:rsidR="00F17297" w:rsidRPr="00E82D46">
        <w:rPr>
          <w:u w:val="single"/>
        </w:rPr>
        <w:t>1 127 687</w:t>
      </w:r>
      <w:r w:rsidR="006B2257" w:rsidRPr="00E82D46">
        <w:rPr>
          <w:u w:val="single"/>
        </w:rPr>
        <w:t>, further to a limitation of the list of goods for the European Union</w:t>
      </w:r>
    </w:p>
    <w:p w14:paraId="168C21BA" w14:textId="1697044D" w:rsidR="003E1A90" w:rsidRPr="00E82D46" w:rsidRDefault="00F17297" w:rsidP="000A4624">
      <w:pPr>
        <w:spacing w:after="269"/>
        <w:contextualSpacing/>
        <w:jc w:val="both"/>
      </w:pPr>
      <w:r w:rsidRPr="00E82D46">
        <w:t>Class</w:t>
      </w:r>
      <w:r w:rsidR="00B31CAA" w:rsidRPr="00E82D46">
        <w:t> </w:t>
      </w:r>
      <w:r w:rsidRPr="00E82D46">
        <w:t xml:space="preserve">26: </w:t>
      </w:r>
      <w:r w:rsidRPr="00E82D46">
        <w:rPr>
          <w:i/>
        </w:rPr>
        <w:t>Lace and embroidery, ribbons and braid; buttons, hooks and eyes, pins and needles; artificial flowers; shoe fasteners, clothing fasteners, clothing fastenings, fastenings for suspenders, zip closures, closures for clothing, slide locks for bags; sewing boxes; buckles (clothing accessories), shoe buckles, belt clasps, press buttons, shoe hooks, eyelets for shoes and clothing; shoe ornaments, not of precious metal, brooches (clothing accessories), hat ornaments not of precious metal,; hair ornaments, hair pins, barrettes (hair-slides), hair grips (slides), bows for the hair, hair bands, hair tresses; badges for wear not of precious metal.</w:t>
      </w:r>
    </w:p>
    <w:p w14:paraId="168C21C6" w14:textId="42A898A4" w:rsidR="003E1A90" w:rsidRPr="00E82D46" w:rsidRDefault="00F17297">
      <w:pPr>
        <w:contextualSpacing/>
        <w:jc w:val="both"/>
      </w:pPr>
      <w:r w:rsidRPr="00E82D46">
        <w:t> </w:t>
      </w:r>
    </w:p>
    <w:p w14:paraId="168C21C7" w14:textId="5104E156" w:rsidR="003E1A90" w:rsidRPr="00E82D46" w:rsidRDefault="00F17297">
      <w:pPr>
        <w:contextualSpacing/>
        <w:jc w:val="both"/>
      </w:pPr>
      <w:r w:rsidRPr="00E82D46">
        <w:t>The contested</w:t>
      </w:r>
      <w:r w:rsidR="00B31CAA" w:rsidRPr="00E82D46">
        <w:t xml:space="preserve"> </w:t>
      </w:r>
      <w:r w:rsidRPr="00E82D46">
        <w:t>goods</w:t>
      </w:r>
      <w:r w:rsidR="00B31CAA" w:rsidRPr="00E82D46">
        <w:rPr>
          <w:b/>
        </w:rPr>
        <w:t xml:space="preserve"> </w:t>
      </w:r>
      <w:r w:rsidRPr="00E82D46">
        <w:t>are the following:</w:t>
      </w:r>
    </w:p>
    <w:p w14:paraId="168C21C8" w14:textId="3983EDB0" w:rsidR="003E1A90" w:rsidRPr="00E82D46" w:rsidRDefault="00F17297">
      <w:pPr>
        <w:jc w:val="both"/>
      </w:pPr>
      <w:r w:rsidRPr="00E82D46">
        <w:t> </w:t>
      </w:r>
    </w:p>
    <w:p w14:paraId="168C21CA" w14:textId="28AE5929" w:rsidR="003E1A90" w:rsidRPr="00E82D46" w:rsidRDefault="00F17297" w:rsidP="00B31CAA">
      <w:pPr>
        <w:spacing w:after="269"/>
        <w:jc w:val="both"/>
      </w:pPr>
      <w:r w:rsidRPr="00E82D46">
        <w:t>Class</w:t>
      </w:r>
      <w:r w:rsidR="00B31CAA" w:rsidRPr="00E82D46">
        <w:t> </w:t>
      </w:r>
      <w:r w:rsidRPr="00E82D46">
        <w:t xml:space="preserve">25: </w:t>
      </w:r>
      <w:r w:rsidRPr="00E82D46">
        <w:rPr>
          <w:i/>
        </w:rPr>
        <w:t xml:space="preserve">Clothing; </w:t>
      </w:r>
      <w:r w:rsidR="000958F3" w:rsidRPr="00E82D46">
        <w:rPr>
          <w:i/>
        </w:rPr>
        <w:t>footwear; headgear; parts of clothing, footwear and headgear; underwear; foundation garments; men's underwear; knitted underwear; long underwear; boy shorts [underwear]; socks; brassieres; bra straps; hats; pants; knickers; slips [underclothing].</w:t>
      </w:r>
    </w:p>
    <w:p w14:paraId="13B6BAA5" w14:textId="5198ADC3" w:rsidR="00F56E94" w:rsidRPr="00E82D46" w:rsidRDefault="00F17297" w:rsidP="00F56E94">
      <w:pPr>
        <w:spacing w:after="269"/>
        <w:jc w:val="both"/>
      </w:pPr>
      <w:r w:rsidRPr="00E82D46">
        <w:t>Class</w:t>
      </w:r>
      <w:r w:rsidR="00B31CAA" w:rsidRPr="00E82D46">
        <w:t> </w:t>
      </w:r>
      <w:r w:rsidRPr="00E82D46">
        <w:t xml:space="preserve">26: </w:t>
      </w:r>
      <w:r w:rsidRPr="00E82D46">
        <w:rPr>
          <w:i/>
        </w:rPr>
        <w:t xml:space="preserve">Accessories for apparel, sewing articles and decorative textile articles; </w:t>
      </w:r>
      <w:r w:rsidR="000958F3" w:rsidRPr="00E82D46">
        <w:rPr>
          <w:i/>
        </w:rPr>
        <w:t xml:space="preserve">needles and pins for entomology; charms [not jewellery or for keys, rings or chains]; artificial fruit, flowers and vegetables; hair ornaments, hair rollers, hair fastening articles, and false hair; rubber or silicone charm accessory for shoes; buttons; hatbands; belt buckles; buckles </w:t>
      </w:r>
      <w:r w:rsidR="000958F3" w:rsidRPr="00E82D46">
        <w:rPr>
          <w:i/>
        </w:rPr>
        <w:lastRenderedPageBreak/>
        <w:t>[clothing accessories]; belt buckles not of precious metal; shoe fasteners; clothing buckles; strap buckles; belt buckles of precious metals.</w:t>
      </w:r>
      <w:bookmarkStart w:id="9" w:name="chk-paragraph-8-2-1-3_nodeId-55414192"/>
      <w:bookmarkEnd w:id="8"/>
    </w:p>
    <w:p w14:paraId="168C21D0" w14:textId="112DFDAF" w:rsidR="003E1A90" w:rsidRPr="00E82D46" w:rsidRDefault="00F17297" w:rsidP="00F56E94">
      <w:pPr>
        <w:spacing w:after="269"/>
        <w:jc w:val="both"/>
      </w:pPr>
      <w:r w:rsidRPr="00E82D46">
        <w:t>Some of the contested</w:t>
      </w:r>
      <w:r w:rsidR="00F56E94" w:rsidRPr="00E82D46">
        <w:t xml:space="preserve"> </w:t>
      </w:r>
      <w:r w:rsidRPr="00E82D46">
        <w:t>goods</w:t>
      </w:r>
      <w:r w:rsidR="00F56E94" w:rsidRPr="00E82D46">
        <w:t xml:space="preserve"> </w:t>
      </w:r>
      <w:r w:rsidRPr="00E82D46">
        <w:t>are identical or similar to</w:t>
      </w:r>
      <w:r w:rsidR="00F56E94" w:rsidRPr="00E82D46">
        <w:t xml:space="preserve"> </w:t>
      </w:r>
      <w:r w:rsidRPr="00E82D46">
        <w:t>goods</w:t>
      </w:r>
      <w:r w:rsidR="00F56E94" w:rsidRPr="00E82D46">
        <w:t xml:space="preserve"> </w:t>
      </w:r>
      <w:r w:rsidRPr="00E82D46">
        <w:t>on which the opposition is based. For reasons of procedural economy, the Opposition Division will not undertake a full comparison of the</w:t>
      </w:r>
      <w:r w:rsidR="00F56E94" w:rsidRPr="00E82D46">
        <w:t xml:space="preserve"> </w:t>
      </w:r>
      <w:r w:rsidRPr="00E82D46">
        <w:t>goods</w:t>
      </w:r>
      <w:r w:rsidR="00F56E94" w:rsidRPr="00E82D46">
        <w:rPr>
          <w:b/>
        </w:rPr>
        <w:t xml:space="preserve"> </w:t>
      </w:r>
      <w:r w:rsidRPr="00E82D46">
        <w:t>listed above. The examination of the opposition will proceed as if all the contested</w:t>
      </w:r>
      <w:r w:rsidR="00F56E94" w:rsidRPr="00E82D46">
        <w:t xml:space="preserve"> </w:t>
      </w:r>
      <w:r w:rsidRPr="00E82D46">
        <w:t>goods</w:t>
      </w:r>
      <w:r w:rsidR="00F56E94" w:rsidRPr="00E82D46">
        <w:rPr>
          <w:b/>
        </w:rPr>
        <w:t xml:space="preserve"> </w:t>
      </w:r>
      <w:r w:rsidRPr="00E82D46">
        <w:t>were identical to those of the earlier mark</w:t>
      </w:r>
      <w:r w:rsidR="00C74EDA" w:rsidRPr="00E82D46">
        <w:t xml:space="preserve"> </w:t>
      </w:r>
      <w:r w:rsidRPr="00E82D46">
        <w:t>which, for the opponent, is the best light in which the opposition can be examined.</w:t>
      </w:r>
    </w:p>
    <w:p w14:paraId="168C21D1" w14:textId="1563707D" w:rsidR="003E1A90" w:rsidRPr="00E82D46" w:rsidRDefault="00F17297">
      <w:pPr>
        <w:jc w:val="both"/>
      </w:pPr>
      <w:r w:rsidRPr="00E82D46">
        <w:t> </w:t>
      </w:r>
    </w:p>
    <w:p w14:paraId="168C21D2" w14:textId="63F8C469" w:rsidR="003E1A90" w:rsidRPr="00E82D46" w:rsidRDefault="00F17297">
      <w:pPr>
        <w:jc w:val="both"/>
      </w:pPr>
      <w:bookmarkStart w:id="10" w:name="chk-paragraph-8-2-2_nodeId-870269841"/>
      <w:bookmarkEnd w:id="9"/>
      <w:r w:rsidRPr="00E82D46">
        <w:rPr>
          <w:b/>
        </w:rPr>
        <w:t>b) Relevant public — degree of attention</w:t>
      </w:r>
    </w:p>
    <w:p w14:paraId="168C21D3" w14:textId="1AAF210F" w:rsidR="003E1A90" w:rsidRPr="00E82D46" w:rsidRDefault="00F17297">
      <w:pPr>
        <w:jc w:val="both"/>
      </w:pPr>
      <w:r w:rsidRPr="00E82D46">
        <w:t> </w:t>
      </w:r>
    </w:p>
    <w:p w14:paraId="168C21D6" w14:textId="77777777" w:rsidR="003E1A90" w:rsidRPr="00E82D46" w:rsidRDefault="00F17297">
      <w:pPr>
        <w:jc w:val="both"/>
      </w:pPr>
      <w:r w:rsidRPr="00E82D46">
        <w:t>The average consumer of the category of products concerned is deemed to be reasonably well informed and reasonably observant and circumspect. It should also be borne in mind that the average consumer’s degree of attention is likely to vary according to the category of goods or services in question.</w:t>
      </w:r>
    </w:p>
    <w:p w14:paraId="168C21D9" w14:textId="195A87F3" w:rsidR="003E1A90" w:rsidRPr="00E82D46" w:rsidRDefault="00F17297">
      <w:pPr>
        <w:jc w:val="both"/>
      </w:pPr>
      <w:r w:rsidRPr="00E82D46">
        <w:t>  </w:t>
      </w:r>
    </w:p>
    <w:p w14:paraId="168C21DA" w14:textId="44799A29" w:rsidR="003E1A90" w:rsidRPr="00E82D46" w:rsidRDefault="00F17297">
      <w:pPr>
        <w:jc w:val="both"/>
      </w:pPr>
      <w:r w:rsidRPr="00E82D46">
        <w:t>In the present case, the</w:t>
      </w:r>
      <w:r w:rsidR="00D74A81" w:rsidRPr="00E82D46">
        <w:t xml:space="preserve"> </w:t>
      </w:r>
      <w:r w:rsidRPr="00E82D46">
        <w:t>goods</w:t>
      </w:r>
      <w:r w:rsidR="00D74A81" w:rsidRPr="00E82D46">
        <w:rPr>
          <w:b/>
        </w:rPr>
        <w:t xml:space="preserve"> </w:t>
      </w:r>
      <w:r w:rsidR="00D74A81" w:rsidRPr="00E82D46">
        <w:rPr>
          <w:bCs/>
        </w:rPr>
        <w:t>assumed</w:t>
      </w:r>
      <w:r w:rsidRPr="00E82D46">
        <w:t xml:space="preserve"> to be</w:t>
      </w:r>
      <w:r w:rsidR="00D74A81" w:rsidRPr="00E82D46">
        <w:t xml:space="preserve"> </w:t>
      </w:r>
      <w:r w:rsidRPr="00E82D46">
        <w:t>identical</w:t>
      </w:r>
      <w:r w:rsidR="00D74A81" w:rsidRPr="00E82D46">
        <w:rPr>
          <w:b/>
        </w:rPr>
        <w:t xml:space="preserve"> </w:t>
      </w:r>
      <w:r w:rsidRPr="00E82D46">
        <w:t>are directed at the</w:t>
      </w:r>
      <w:r w:rsidR="00D74A81" w:rsidRPr="00E82D46">
        <w:t xml:space="preserve"> </w:t>
      </w:r>
      <w:r w:rsidRPr="00E82D46">
        <w:t>public at large</w:t>
      </w:r>
      <w:r w:rsidR="002412A7" w:rsidRPr="00E82D46">
        <w:t xml:space="preserve"> and at business customers with specific professional knowledge or expertise</w:t>
      </w:r>
      <w:r w:rsidRPr="00E82D46">
        <w:t>.</w:t>
      </w:r>
    </w:p>
    <w:p w14:paraId="168C21DB" w14:textId="41751317" w:rsidR="003E1A90" w:rsidRPr="00E82D46" w:rsidRDefault="00F17297">
      <w:pPr>
        <w:jc w:val="both"/>
      </w:pPr>
      <w:r w:rsidRPr="00E82D46">
        <w:t> </w:t>
      </w:r>
    </w:p>
    <w:p w14:paraId="168C21DC" w14:textId="25AC246B" w:rsidR="003E1A90" w:rsidRPr="00E82D46" w:rsidRDefault="00F17297">
      <w:pPr>
        <w:jc w:val="both"/>
      </w:pPr>
      <w:r w:rsidRPr="00E82D46">
        <w:t>The degree of attention</w:t>
      </w:r>
      <w:r w:rsidRPr="00E82D46">
        <w:rPr>
          <w:i/>
        </w:rPr>
        <w:t xml:space="preserve"> </w:t>
      </w:r>
      <w:r w:rsidR="00991C39" w:rsidRPr="00E82D46">
        <w:rPr>
          <w:iCs/>
        </w:rPr>
        <w:t>varies from</w:t>
      </w:r>
      <w:r w:rsidRPr="00E82D46">
        <w:rPr>
          <w:iCs/>
        </w:rPr>
        <w:t xml:space="preserve"> average</w:t>
      </w:r>
      <w:r w:rsidR="00991C39" w:rsidRPr="00E82D46">
        <w:rPr>
          <w:iCs/>
        </w:rPr>
        <w:t xml:space="preserve"> to above average</w:t>
      </w:r>
      <w:r w:rsidR="00F37142" w:rsidRPr="00E82D46">
        <w:rPr>
          <w:iCs/>
        </w:rPr>
        <w:t xml:space="preserve">, </w:t>
      </w:r>
      <w:r w:rsidR="008F2CB0" w:rsidRPr="00E82D46">
        <w:rPr>
          <w:iCs/>
        </w:rPr>
        <w:t>bearing in mind that part of the goods concerned have a rather specialised nature and that they can have an impact on the final products manufactured by the users, and consequently on the users’ business</w:t>
      </w:r>
      <w:r w:rsidRPr="00E82D46">
        <w:t>.</w:t>
      </w:r>
    </w:p>
    <w:p w14:paraId="1C3CA968" w14:textId="77777777" w:rsidR="003F720F" w:rsidRPr="00E82D46" w:rsidRDefault="003F720F">
      <w:pPr>
        <w:jc w:val="both"/>
      </w:pPr>
    </w:p>
    <w:p w14:paraId="168C21DD" w14:textId="5B889EDA" w:rsidR="003E1A90" w:rsidRPr="00E82D46" w:rsidRDefault="00F17297">
      <w:pPr>
        <w:jc w:val="both"/>
      </w:pPr>
      <w:r w:rsidRPr="00E82D46">
        <w:t> </w:t>
      </w:r>
    </w:p>
    <w:p w14:paraId="168C21E2" w14:textId="5CF9DF01" w:rsidR="003E1A90" w:rsidRPr="00E82D46" w:rsidRDefault="00F17297">
      <w:pPr>
        <w:jc w:val="both"/>
      </w:pPr>
      <w:bookmarkStart w:id="11" w:name="chk-paragraph-8-2-3_nodeId--1465072020"/>
      <w:bookmarkEnd w:id="10"/>
      <w:r w:rsidRPr="00E82D46">
        <w:rPr>
          <w:b/>
        </w:rPr>
        <w:t>c) The signs</w:t>
      </w:r>
    </w:p>
    <w:p w14:paraId="168C21E3" w14:textId="397DDE18" w:rsidR="003E1A90" w:rsidRPr="00E82D46" w:rsidRDefault="00F17297">
      <w:pPr>
        <w:jc w:val="both"/>
      </w:pPr>
      <w:r w:rsidRPr="00E82D46">
        <w:t> </w:t>
      </w:r>
    </w:p>
    <w:tbl>
      <w:tblPr>
        <w:tblW w:w="0" w:type="auto"/>
        <w:tblCellSpacing w:w="20" w:type="dxa"/>
        <w:tblInd w:w="154" w:type="dxa"/>
        <w:tblLook w:val="04A0" w:firstRow="1" w:lastRow="0" w:firstColumn="1" w:lastColumn="0" w:noHBand="0" w:noVBand="1"/>
      </w:tblPr>
      <w:tblGrid>
        <w:gridCol w:w="3880"/>
        <w:gridCol w:w="4993"/>
      </w:tblGrid>
      <w:tr w:rsidR="00D820B6" w:rsidRPr="00E82D46" w14:paraId="168C21EE" w14:textId="77777777">
        <w:trPr>
          <w:trHeight w:val="30"/>
          <w:tblCellSpacing w:w="20" w:type="dxa"/>
        </w:trPr>
        <w:tc>
          <w:tcPr>
            <w:tcW w:w="6801" w:type="dxa"/>
            <w:tcBorders>
              <w:right w:val="dotted" w:sz="8" w:space="0" w:color="000000"/>
            </w:tcBorders>
            <w:tcMar>
              <w:top w:w="15" w:type="dxa"/>
              <w:left w:w="15" w:type="dxa"/>
              <w:bottom w:w="15" w:type="dxa"/>
              <w:right w:w="15" w:type="dxa"/>
            </w:tcMar>
            <w:vAlign w:val="center"/>
          </w:tcPr>
          <w:p w14:paraId="168C21E4" w14:textId="77777777" w:rsidR="003E1A90" w:rsidRPr="00E82D46" w:rsidRDefault="00F17297">
            <w:pPr>
              <w:ind w:left="130"/>
              <w:jc w:val="center"/>
            </w:pPr>
            <w:r w:rsidRPr="00E82D46">
              <w:br/>
            </w:r>
          </w:p>
          <w:p w14:paraId="168C21E5" w14:textId="77777777" w:rsidR="003E1A90" w:rsidRPr="00E82D46" w:rsidRDefault="00F17297">
            <w:pPr>
              <w:ind w:left="130"/>
              <w:jc w:val="center"/>
            </w:pPr>
            <w:r w:rsidRPr="00E82D46">
              <w:rPr>
                <w:noProof/>
              </w:rPr>
              <w:drawing>
                <wp:inline distT="0" distB="0" distL="0" distR="0" wp14:anchorId="168C22D0" wp14:editId="4C4FD3ED">
                  <wp:extent cx="1311327" cy="13426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19005" cy="1350518"/>
                          </a:xfrm>
                          <a:prstGeom prst="rect">
                            <a:avLst/>
                          </a:prstGeom>
                        </pic:spPr>
                      </pic:pic>
                    </a:graphicData>
                  </a:graphic>
                </wp:inline>
              </w:drawing>
            </w:r>
          </w:p>
          <w:p w14:paraId="168C21EC" w14:textId="4F2EAEF3" w:rsidR="003E1A90" w:rsidRPr="000E73B0" w:rsidRDefault="003E1A90">
            <w:pPr>
              <w:ind w:left="130"/>
              <w:jc w:val="center"/>
              <w:rPr>
                <w14:shadow w14:blurRad="50800" w14:dist="38100" w14:dir="2700000" w14:sx="100000" w14:sy="100000" w14:kx="0" w14:ky="0" w14:algn="tl">
                  <w14:srgbClr w14:val="000000">
                    <w14:alpha w14:val="60000"/>
                  </w14:srgbClr>
                </w14:shadow>
              </w:rPr>
            </w:pPr>
          </w:p>
        </w:tc>
        <w:tc>
          <w:tcPr>
            <w:tcW w:w="5449" w:type="dxa"/>
            <w:tcMar>
              <w:top w:w="15" w:type="dxa"/>
              <w:left w:w="15" w:type="dxa"/>
              <w:bottom w:w="15" w:type="dxa"/>
              <w:right w:w="15" w:type="dxa"/>
            </w:tcMar>
            <w:vAlign w:val="center"/>
          </w:tcPr>
          <w:p w14:paraId="168C21ED" w14:textId="77777777" w:rsidR="003E1A90" w:rsidRPr="000E73B0" w:rsidRDefault="00F17297">
            <w:pPr>
              <w:ind w:left="130"/>
              <w:jc w:val="center"/>
              <w:rPr>
                <w14:shadow w14:blurRad="50800" w14:dist="38100" w14:dir="2700000" w14:sx="100000" w14:sy="100000" w14:kx="0" w14:ky="0" w14:algn="tl">
                  <w14:srgbClr w14:val="000000">
                    <w14:alpha w14:val="60000"/>
                  </w14:srgbClr>
                </w14:shadow>
              </w:rPr>
            </w:pPr>
            <w:r w:rsidRPr="00E82D46">
              <w:rPr>
                <w:noProof/>
              </w:rPr>
              <w:drawing>
                <wp:inline distT="0" distB="0" distL="0" distR="0" wp14:anchorId="168C22D8" wp14:editId="168C22D9">
                  <wp:extent cx="2857500" cy="1495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57500" cy="1495425"/>
                          </a:xfrm>
                          <a:prstGeom prst="rect">
                            <a:avLst/>
                          </a:prstGeom>
                        </pic:spPr>
                      </pic:pic>
                    </a:graphicData>
                  </a:graphic>
                </wp:inline>
              </w:drawing>
            </w:r>
          </w:p>
        </w:tc>
      </w:tr>
      <w:tr w:rsidR="00D820B6" w:rsidRPr="00E82D46" w14:paraId="168C21F3" w14:textId="77777777">
        <w:trPr>
          <w:trHeight w:val="45"/>
          <w:tblCellSpacing w:w="20" w:type="dxa"/>
        </w:trPr>
        <w:tc>
          <w:tcPr>
            <w:tcW w:w="6801" w:type="dxa"/>
            <w:tcBorders>
              <w:top w:val="dotted" w:sz="8" w:space="0" w:color="000000"/>
              <w:right w:val="dotted" w:sz="8" w:space="0" w:color="000000"/>
            </w:tcBorders>
            <w:tcMar>
              <w:top w:w="15" w:type="dxa"/>
              <w:left w:w="15" w:type="dxa"/>
              <w:bottom w:w="15" w:type="dxa"/>
              <w:right w:w="15" w:type="dxa"/>
            </w:tcMar>
            <w:vAlign w:val="center"/>
          </w:tcPr>
          <w:p w14:paraId="168C21EF" w14:textId="14A6ED47" w:rsidR="003E1A90" w:rsidRPr="00E82D46" w:rsidRDefault="00F17297">
            <w:pPr>
              <w:ind w:left="130"/>
              <w:jc w:val="both"/>
            </w:pPr>
            <w:r w:rsidRPr="00E82D46">
              <w:t> </w:t>
            </w:r>
          </w:p>
          <w:p w14:paraId="168C21F0" w14:textId="29002DF7" w:rsidR="003E1A90" w:rsidRPr="000E73B0" w:rsidRDefault="00F17297">
            <w:pPr>
              <w:ind w:left="130"/>
              <w:jc w:val="center"/>
              <w:rPr>
                <w:lang w:val="it-IT"/>
                <w14:shadow w14:blurRad="50800" w14:dist="38100" w14:dir="2700000" w14:sx="100000" w14:sy="100000" w14:kx="0" w14:ky="0" w14:algn="tl">
                  <w14:srgbClr w14:val="000000">
                    <w14:alpha w14:val="60000"/>
                  </w14:srgbClr>
                </w14:shadow>
              </w:rPr>
            </w:pPr>
            <w:r w:rsidRPr="00E82D46">
              <w:t>Earlier trade mark</w:t>
            </w:r>
          </w:p>
        </w:tc>
        <w:tc>
          <w:tcPr>
            <w:tcW w:w="5449" w:type="dxa"/>
            <w:tcBorders>
              <w:top w:val="dotted" w:sz="8" w:space="0" w:color="000000"/>
            </w:tcBorders>
            <w:tcMar>
              <w:top w:w="15" w:type="dxa"/>
              <w:left w:w="15" w:type="dxa"/>
              <w:bottom w:w="15" w:type="dxa"/>
              <w:right w:w="15" w:type="dxa"/>
            </w:tcMar>
            <w:vAlign w:val="center"/>
          </w:tcPr>
          <w:p w14:paraId="168C21F1" w14:textId="32C97E9E" w:rsidR="003E1A90" w:rsidRPr="00E82D46" w:rsidRDefault="00F17297">
            <w:pPr>
              <w:ind w:left="130"/>
              <w:jc w:val="both"/>
            </w:pPr>
            <w:r w:rsidRPr="00E82D46">
              <w:t> </w:t>
            </w:r>
          </w:p>
          <w:p w14:paraId="168C21F2" w14:textId="77777777" w:rsidR="003E1A90" w:rsidRPr="00E82D46" w:rsidRDefault="00F17297">
            <w:pPr>
              <w:ind w:left="130"/>
              <w:jc w:val="center"/>
            </w:pPr>
            <w:r w:rsidRPr="00E82D46">
              <w:t>Contested sign</w:t>
            </w:r>
          </w:p>
        </w:tc>
      </w:tr>
    </w:tbl>
    <w:p w14:paraId="168C21F9" w14:textId="52881BBA" w:rsidR="003E1A90" w:rsidRPr="00E82D46" w:rsidRDefault="00F17297">
      <w:pPr>
        <w:jc w:val="both"/>
      </w:pPr>
      <w:r w:rsidRPr="00E82D46">
        <w:t> </w:t>
      </w:r>
      <w:bookmarkStart w:id="12" w:name="chk-paragraph-8-2-3-2_nodeId--1371220369"/>
      <w:bookmarkEnd w:id="11"/>
      <w:r w:rsidRPr="00E82D46">
        <w:t> </w:t>
      </w:r>
    </w:p>
    <w:p w14:paraId="168C21FA" w14:textId="42851347" w:rsidR="003E1A90" w:rsidRPr="00E82D46" w:rsidRDefault="00F17297">
      <w:pPr>
        <w:jc w:val="both"/>
      </w:pPr>
      <w:r w:rsidRPr="00E82D46">
        <w:t xml:space="preserve">The relevant territory is </w:t>
      </w:r>
      <w:r w:rsidR="00DA6368" w:rsidRPr="00E82D46">
        <w:t>the European Union</w:t>
      </w:r>
      <w:r w:rsidRPr="00E82D46">
        <w:t>.</w:t>
      </w:r>
    </w:p>
    <w:p w14:paraId="168C21FB" w14:textId="7132C0F0" w:rsidR="003E1A90" w:rsidRPr="00E82D46" w:rsidRDefault="00F17297">
      <w:pPr>
        <w:jc w:val="both"/>
      </w:pPr>
      <w:r w:rsidRPr="00E82D46">
        <w:t> </w:t>
      </w:r>
    </w:p>
    <w:p w14:paraId="168C21FC" w14:textId="60BD4A26" w:rsidR="003E1A90" w:rsidRPr="00E82D46" w:rsidRDefault="00F17297">
      <w:pPr>
        <w:jc w:val="both"/>
      </w:pPr>
      <w:r w:rsidRPr="00E82D46">
        <w:t>The global appreciation of the visual, aural or conceptual similarity of the marks in question must be based on the overall impression given by the marks, bearing in mind, in particular, their distinctive and dominant components (11/11/1997, C-251/95, Sabèl, EU:C:1997:528, § 23).</w:t>
      </w:r>
    </w:p>
    <w:p w14:paraId="3C67E164" w14:textId="090C5738" w:rsidR="00AC1711" w:rsidRPr="00E82D46" w:rsidRDefault="00AC1711" w:rsidP="00AC1711">
      <w:pPr>
        <w:jc w:val="both"/>
      </w:pPr>
      <w:r w:rsidRPr="00E82D46">
        <w:t>  </w:t>
      </w:r>
    </w:p>
    <w:p w14:paraId="783E8D05" w14:textId="77777777" w:rsidR="00AC1711" w:rsidRPr="00E82D46" w:rsidRDefault="00AC1711" w:rsidP="00AC1711">
      <w:pPr>
        <w:jc w:val="both"/>
      </w:pPr>
      <w:r w:rsidRPr="00E82D46">
        <w:t>When assessing the similarity of the signs, an analysis of whether the coinciding components are descriptive, allusive or otherwise weak is carried out to assess the extent to which these coinciding components have a lesser or greater capacity to indicate commercial origin. It may be more difficult to establish that the public may be confused about origin due to similarities that pertain solely to non-distinctive elements.</w:t>
      </w:r>
    </w:p>
    <w:p w14:paraId="607D6788" w14:textId="32A3DA0A" w:rsidR="008C6D21" w:rsidRPr="00E82D46" w:rsidRDefault="00AC1711" w:rsidP="00AC1711">
      <w:pPr>
        <w:jc w:val="both"/>
      </w:pPr>
      <w:r w:rsidRPr="00E82D46">
        <w:t> </w:t>
      </w:r>
    </w:p>
    <w:p w14:paraId="173A5BBD" w14:textId="5151C6D3" w:rsidR="008C6D21" w:rsidRPr="00E82D46" w:rsidRDefault="008C6D21" w:rsidP="00AC1711">
      <w:pPr>
        <w:jc w:val="both"/>
      </w:pPr>
      <w:r w:rsidRPr="00E82D46">
        <w:t>The earlier mark consists of the two letters ‘LV’</w:t>
      </w:r>
      <w:r w:rsidR="008F3B84" w:rsidRPr="00E82D46">
        <w:t xml:space="preserve"> or ‘VL’</w:t>
      </w:r>
      <w:r w:rsidR="00D73E6F" w:rsidRPr="00E82D46">
        <w:t>,</w:t>
      </w:r>
      <w:r w:rsidR="008F3B84" w:rsidRPr="00E82D46">
        <w:t xml:space="preserve"> </w:t>
      </w:r>
      <w:r w:rsidRPr="00E82D46">
        <w:t xml:space="preserve">which have no specific meaning for the relevant public in relation to the relevant goods and are, therefore, distinctive. These letters are depicted in a </w:t>
      </w:r>
      <w:r w:rsidR="00CE341A" w:rsidRPr="00E82D46">
        <w:t>styli</w:t>
      </w:r>
      <w:r w:rsidR="002B1231" w:rsidRPr="00E82D46">
        <w:t>s</w:t>
      </w:r>
      <w:r w:rsidR="00CE341A" w:rsidRPr="00E82D46">
        <w:t xml:space="preserve">ed manner, crossed one above the other, with the ‘L’ </w:t>
      </w:r>
      <w:r w:rsidR="00553242" w:rsidRPr="00E82D46">
        <w:t>in italics</w:t>
      </w:r>
      <w:r w:rsidR="00CE341A" w:rsidRPr="00E82D46">
        <w:t>, in quite regular black</w:t>
      </w:r>
      <w:r w:rsidR="00FE34C8" w:rsidRPr="00E82D46">
        <w:t>,</w:t>
      </w:r>
      <w:r w:rsidR="00CE341A" w:rsidRPr="00E82D46">
        <w:t xml:space="preserve"> upper-case letters. </w:t>
      </w:r>
      <w:r w:rsidR="00E76068" w:rsidRPr="00E82D46">
        <w:t>Although the letters are stylised, they are readily recognisable and readily perceptible as such on behalf of the relevant public.</w:t>
      </w:r>
      <w:r w:rsidR="009C354E" w:rsidRPr="00E82D46">
        <w:t xml:space="preserve"> The earlier mark has no element that could be considered as dominant. </w:t>
      </w:r>
    </w:p>
    <w:p w14:paraId="6AEBD268" w14:textId="73F3C395" w:rsidR="00E76068" w:rsidRPr="00E82D46" w:rsidRDefault="00E76068" w:rsidP="00AC1711">
      <w:pPr>
        <w:jc w:val="both"/>
      </w:pPr>
    </w:p>
    <w:p w14:paraId="5AF2AF32" w14:textId="413B70D1" w:rsidR="002B1231" w:rsidRPr="00E82D46" w:rsidRDefault="008F3B84" w:rsidP="002B1231">
      <w:pPr>
        <w:jc w:val="both"/>
      </w:pPr>
      <w:r w:rsidRPr="00E82D46">
        <w:t>The contested sign is composed of the two letters ‘NL’</w:t>
      </w:r>
      <w:r w:rsidR="002B1231" w:rsidRPr="00E82D46">
        <w:t xml:space="preserve"> or ‘LN’, which have no specific meaning for the relevant public in relation to the relevant goods and are, therefore, distinctive. These letters are also depicted in a stylised manner, crossed one above the other, in quite regular black, italic, upper-case letters. Although the letters are stylised, they are readily recognisable and readily perceptible as such on behalf of the relevant public.</w:t>
      </w:r>
      <w:r w:rsidR="00E770FA" w:rsidRPr="00E82D46">
        <w:t xml:space="preserve"> Underneath the two letters, the words ‘LOVES VITTORIO’ are depicted in </w:t>
      </w:r>
      <w:r w:rsidR="004361C9" w:rsidRPr="00E82D46">
        <w:t xml:space="preserve">smaller font, in </w:t>
      </w:r>
      <w:r w:rsidR="00E770FA" w:rsidRPr="00E82D46">
        <w:t>regular</w:t>
      </w:r>
      <w:r w:rsidR="004361C9" w:rsidRPr="00E82D46">
        <w:t>,</w:t>
      </w:r>
      <w:r w:rsidR="00E770FA" w:rsidRPr="00E82D46">
        <w:t xml:space="preserve"> upper-case letters. </w:t>
      </w:r>
      <w:r w:rsidR="00D96CFB" w:rsidRPr="00E82D46">
        <w:t xml:space="preserve">The word ‘LOVES’ </w:t>
      </w:r>
      <w:r w:rsidR="00087170" w:rsidRPr="00E82D46">
        <w:t>will be understood in all Member States</w:t>
      </w:r>
      <w:r w:rsidR="00E73D21" w:rsidRPr="00E82D46">
        <w:t xml:space="preserve">, as the word ‘LOVE’ </w:t>
      </w:r>
      <w:r w:rsidR="00087170" w:rsidRPr="00E82D46">
        <w:t xml:space="preserve">is a very basic English word, which </w:t>
      </w:r>
      <w:r w:rsidR="000D7D49" w:rsidRPr="00E82D46">
        <w:t>has become internationally used</w:t>
      </w:r>
      <w:r w:rsidR="00E73D21" w:rsidRPr="00E82D46">
        <w:t>.</w:t>
      </w:r>
      <w:r w:rsidR="00D96CFB" w:rsidRPr="00E82D46">
        <w:t xml:space="preserve"> </w:t>
      </w:r>
      <w:r w:rsidR="00016082" w:rsidRPr="00E82D46">
        <w:t xml:space="preserve">Although it is a word </w:t>
      </w:r>
      <w:r w:rsidR="00A612DE" w:rsidRPr="00E82D46">
        <w:t xml:space="preserve">strategically </w:t>
      </w:r>
      <w:r w:rsidR="00016082" w:rsidRPr="00E82D46">
        <w:t xml:space="preserve">used to </w:t>
      </w:r>
      <w:r w:rsidR="00171401" w:rsidRPr="00E82D46">
        <w:t>provoke a positive connotation in the mind of the consumer</w:t>
      </w:r>
      <w:r w:rsidR="00016082" w:rsidRPr="00E82D46">
        <w:t>, it is, i</w:t>
      </w:r>
      <w:r w:rsidR="001B6B97" w:rsidRPr="00E82D46">
        <w:t>n relation to the relevant goods</w:t>
      </w:r>
      <w:r w:rsidR="00016082" w:rsidRPr="00E82D46">
        <w:t>,</w:t>
      </w:r>
      <w:r w:rsidR="001B6B97" w:rsidRPr="00E82D46">
        <w:t xml:space="preserve"> normally distinctive as it does not describe the</w:t>
      </w:r>
      <w:r w:rsidR="009D14E1" w:rsidRPr="00E82D46">
        <w:t>ir</w:t>
      </w:r>
      <w:r w:rsidR="001B6B97" w:rsidRPr="00E82D46">
        <w:t xml:space="preserve"> characteristics or qualities</w:t>
      </w:r>
      <w:r w:rsidR="003F7742" w:rsidRPr="00E82D46">
        <w:t xml:space="preserve"> (27/05/2019, R 1078/2018-1, Love pink / Love of pink, paragraph 31)</w:t>
      </w:r>
      <w:r w:rsidR="001B6B97" w:rsidRPr="00E82D46">
        <w:t xml:space="preserve">. </w:t>
      </w:r>
      <w:r w:rsidR="00993D18" w:rsidRPr="00E82D46">
        <w:t>The word ‘VITTORIO’ is a male given name.</w:t>
      </w:r>
      <w:r w:rsidR="005B0E0C" w:rsidRPr="00E82D46">
        <w:t xml:space="preserve"> </w:t>
      </w:r>
      <w:r w:rsidR="00786B4F" w:rsidRPr="00E82D46">
        <w:t xml:space="preserve">As such it is normally distinctive. </w:t>
      </w:r>
      <w:r w:rsidR="005B0E0C" w:rsidRPr="00E82D46">
        <w:t>The contested sign could also be understood as a unitary concept to signify that a person with the initials ‘NL’ or ‘LN’ ‘loves’ a person named ‘VITTORIO’.</w:t>
      </w:r>
      <w:r w:rsidR="00993D18" w:rsidRPr="00E82D46">
        <w:t xml:space="preserve"> </w:t>
      </w:r>
      <w:r w:rsidR="00786B4F" w:rsidRPr="00E82D46">
        <w:t xml:space="preserve">In any event, it is normally distinctive. </w:t>
      </w:r>
      <w:r w:rsidR="00B15A86" w:rsidRPr="00E82D46">
        <w:t>All</w:t>
      </w:r>
      <w:r w:rsidR="00E770FA" w:rsidRPr="00E82D46">
        <w:t xml:space="preserve"> verbal elements are depicted in white against a black rectangular background</w:t>
      </w:r>
      <w:r w:rsidR="002431A1" w:rsidRPr="00E82D46">
        <w:t xml:space="preserve">, which is a commonplace element without trade mark significance. </w:t>
      </w:r>
      <w:bookmarkStart w:id="13" w:name="_Hlk92814555"/>
      <w:r w:rsidR="00927D11" w:rsidRPr="00E82D46">
        <w:t>The contested sign has no element that could be considered as dominant</w:t>
      </w:r>
      <w:r w:rsidR="00D5388B" w:rsidRPr="00E82D46">
        <w:t xml:space="preserve">, since the verbal elements are equally eye-catching. </w:t>
      </w:r>
    </w:p>
    <w:p w14:paraId="168C2228" w14:textId="314EE73F" w:rsidR="003E1A90" w:rsidRPr="00E82D46" w:rsidRDefault="00F17297">
      <w:pPr>
        <w:jc w:val="both"/>
      </w:pPr>
      <w:bookmarkStart w:id="14" w:name="chk-paragraph-8-2-3-2-5-2-3_nodeId-26910"/>
      <w:bookmarkEnd w:id="12"/>
      <w:r w:rsidRPr="00E82D46">
        <w:t> </w:t>
      </w:r>
    </w:p>
    <w:bookmarkEnd w:id="13"/>
    <w:p w14:paraId="168C2229" w14:textId="51A4EDC5" w:rsidR="003E1A90" w:rsidRPr="00E82D46" w:rsidRDefault="00F17297">
      <w:pPr>
        <w:jc w:val="both"/>
      </w:pPr>
      <w:r w:rsidRPr="00E82D46">
        <w:t>The length of the signs may influence the effect of the differences between them. The shorter a sign, the more easily the public is able to perceive all of its single elements. Therefore, in short words, small differences may frequently lead to a different overall impression. In contrast, the public is less aware of differences between long signs.</w:t>
      </w:r>
      <w:r w:rsidR="00927D11" w:rsidRPr="00E82D46">
        <w:t xml:space="preserve"> In the present case, the earlier mark is considered </w:t>
      </w:r>
      <w:r w:rsidR="00DC049B" w:rsidRPr="00E82D46">
        <w:t xml:space="preserve">a short sign, since it consists of only two letters. Therefore, the consumers will more easily perceive the differences with the contested sign. </w:t>
      </w:r>
    </w:p>
    <w:p w14:paraId="168C222C" w14:textId="33A573CB" w:rsidR="003E1A90" w:rsidRPr="00E82D46" w:rsidRDefault="00F17297">
      <w:pPr>
        <w:jc w:val="both"/>
      </w:pPr>
      <w:r w:rsidRPr="00E82D46">
        <w:t> </w:t>
      </w:r>
      <w:bookmarkStart w:id="15" w:name="chk-paragraph-8-2-3-2-6_nodeId-141804686"/>
      <w:bookmarkEnd w:id="14"/>
      <w:r w:rsidRPr="00E82D46">
        <w:t> </w:t>
      </w:r>
    </w:p>
    <w:p w14:paraId="5C88BB9F" w14:textId="6E29FBB3" w:rsidR="00A82E92" w:rsidRPr="00E82D46" w:rsidRDefault="00F17297">
      <w:pPr>
        <w:jc w:val="both"/>
        <w:rPr>
          <w:lang w:val="en-GB"/>
        </w:rPr>
      </w:pPr>
      <w:r w:rsidRPr="00E82D46">
        <w:rPr>
          <w:b/>
        </w:rPr>
        <w:t>Visually</w:t>
      </w:r>
      <w:r w:rsidRPr="00E82D46">
        <w:t xml:space="preserve">, the signs </w:t>
      </w:r>
      <w:r w:rsidR="004826A0" w:rsidRPr="00E82D46">
        <w:t xml:space="preserve">only have the letter </w:t>
      </w:r>
      <w:r w:rsidR="00A737F8" w:rsidRPr="00E82D46">
        <w:t xml:space="preserve">‘L’ in common and they coincide partially in the two letters’ stylisation, namely in the fact that the letter ‘L’ is in italics and that the two letters are juxtaposed. </w:t>
      </w:r>
      <w:r w:rsidR="00A82E92" w:rsidRPr="00E82D46">
        <w:t xml:space="preserve">However, the signs differ in all the remaining elements, namely in the remaining letters, ‘V’ in the earlier mark and ‘N’ in the contested sign, </w:t>
      </w:r>
      <w:r w:rsidR="004534BE" w:rsidRPr="00E82D46">
        <w:t>in the additional words ‘LOVES VITTORIO’</w:t>
      </w:r>
      <w:r w:rsidR="009F4D4D" w:rsidRPr="00E82D46">
        <w:t xml:space="preserve"> of the contested sign</w:t>
      </w:r>
      <w:r w:rsidR="004534BE" w:rsidRPr="00E82D46">
        <w:t xml:space="preserve">, and in the colors of the verbal elements, black in the earlier mark and white against a black background in the contested sign. </w:t>
      </w:r>
      <w:r w:rsidR="00213B95" w:rsidRPr="00E82D46">
        <w:t>The stylisation of the sign</w:t>
      </w:r>
      <w:r w:rsidR="00362741" w:rsidRPr="00E82D46">
        <w:t>s</w:t>
      </w:r>
      <w:r w:rsidR="00213B95" w:rsidRPr="00E82D46">
        <w:t xml:space="preserve"> does not prevent consumers from perceiving the letters as such, as explained above. Furthermore, </w:t>
      </w:r>
      <w:r w:rsidR="00362741" w:rsidRPr="00E82D46">
        <w:t xml:space="preserve">even if the stylisation used in both signs is similar, </w:t>
      </w:r>
      <w:r w:rsidR="00213B95" w:rsidRPr="00E82D46">
        <w:t xml:space="preserve">as consumers are accustomed to the stylisation of verbal elements in trade marks, they will perceive such stylisation as merely a decorative depiction of the </w:t>
      </w:r>
      <w:r w:rsidR="007824C6" w:rsidRPr="00E82D46">
        <w:t>verbal</w:t>
      </w:r>
      <w:r w:rsidR="00213B95" w:rsidRPr="00E82D46">
        <w:t xml:space="preserve"> elements.</w:t>
      </w:r>
    </w:p>
    <w:p w14:paraId="168C2230" w14:textId="62780FBC" w:rsidR="003E1A90" w:rsidRPr="00E82D46" w:rsidRDefault="00F17297">
      <w:pPr>
        <w:jc w:val="both"/>
      </w:pPr>
      <w:r w:rsidRPr="00E82D46">
        <w:t> </w:t>
      </w:r>
    </w:p>
    <w:p w14:paraId="168C2231" w14:textId="6004CED8" w:rsidR="003E1A90" w:rsidRPr="00E82D46" w:rsidRDefault="00F17297">
      <w:pPr>
        <w:jc w:val="both"/>
        <w:rPr>
          <w:b/>
        </w:rPr>
      </w:pPr>
      <w:r w:rsidRPr="00E82D46">
        <w:t>Therefore, the signs are</w:t>
      </w:r>
      <w:r w:rsidR="00610437" w:rsidRPr="00E82D46">
        <w:t xml:space="preserve"> </w:t>
      </w:r>
      <w:r w:rsidR="00317BC4" w:rsidRPr="00E82D46">
        <w:rPr>
          <w:u w:val="single"/>
        </w:rPr>
        <w:t xml:space="preserve">visually </w:t>
      </w:r>
      <w:r w:rsidRPr="00E82D46">
        <w:rPr>
          <w:u w:val="single"/>
        </w:rPr>
        <w:t xml:space="preserve">similar to a </w:t>
      </w:r>
      <w:r w:rsidR="005D7F4D" w:rsidRPr="00E82D46">
        <w:rPr>
          <w:u w:val="single"/>
        </w:rPr>
        <w:t xml:space="preserve">very </w:t>
      </w:r>
      <w:r w:rsidRPr="00E82D46">
        <w:rPr>
          <w:u w:val="single"/>
        </w:rPr>
        <w:t>low degree</w:t>
      </w:r>
      <w:r w:rsidRPr="00E82D46">
        <w:t>.</w:t>
      </w:r>
    </w:p>
    <w:p w14:paraId="168C2238" w14:textId="3924CC7C" w:rsidR="003E1A90" w:rsidRPr="00E82D46" w:rsidRDefault="00F17297">
      <w:pPr>
        <w:jc w:val="both"/>
      </w:pPr>
      <w:bookmarkStart w:id="16" w:name="chk-paragraph-8-2-3-2-7_nodeId--78903758"/>
      <w:bookmarkEnd w:id="15"/>
      <w:r w:rsidRPr="00E82D46">
        <w:t> </w:t>
      </w:r>
    </w:p>
    <w:p w14:paraId="168C223A" w14:textId="3EDF80FD" w:rsidR="003E1A90" w:rsidRPr="00E82D46" w:rsidRDefault="00F17297" w:rsidP="0020297B">
      <w:pPr>
        <w:jc w:val="both"/>
      </w:pPr>
      <w:r w:rsidRPr="00E82D46">
        <w:rPr>
          <w:b/>
        </w:rPr>
        <w:t>Aurally</w:t>
      </w:r>
      <w:r w:rsidRPr="00E82D46">
        <w:t>,</w:t>
      </w:r>
      <w:r w:rsidR="00C3126E" w:rsidRPr="00E82D46">
        <w:t xml:space="preserve"> </w:t>
      </w:r>
      <w:r w:rsidRPr="00E82D46">
        <w:t>irrespective of the different pronunciation rules in different parts of the relevant territory</w:t>
      </w:r>
      <w:r w:rsidRPr="00E82D46">
        <w:rPr>
          <w:iCs/>
        </w:rPr>
        <w:t>,</w:t>
      </w:r>
      <w:r w:rsidR="00C3126E" w:rsidRPr="00E82D46">
        <w:rPr>
          <w:b/>
          <w:i/>
        </w:rPr>
        <w:t xml:space="preserve"> </w:t>
      </w:r>
      <w:r w:rsidRPr="00E82D46">
        <w:t xml:space="preserve">the pronunciation of the signs coincides </w:t>
      </w:r>
      <w:r w:rsidR="004672B6" w:rsidRPr="00E82D46">
        <w:t>only in the sound of the letter ‘L’, which could be pronounced at the same position (</w:t>
      </w:r>
      <w:r w:rsidR="00C91729" w:rsidRPr="00E82D46">
        <w:t xml:space="preserve">e.g., </w:t>
      </w:r>
      <w:r w:rsidR="004672B6" w:rsidRPr="00E82D46">
        <w:t>in case the signs are perceived as ‘LV’/’LN’) or even in a different position (if</w:t>
      </w:r>
      <w:r w:rsidR="00C91729" w:rsidRPr="00E82D46">
        <w:t>, e.g.,</w:t>
      </w:r>
      <w:r w:rsidR="004672B6" w:rsidRPr="00E82D46">
        <w:t xml:space="preserve"> the signs are perceived as ‘LV’/’NL’)</w:t>
      </w:r>
      <w:r w:rsidR="0020297B" w:rsidRPr="00E82D46">
        <w:t>. The pronunciation of the signs differ in the sound of the remainder of the signs, namely in the sound of the letters ‘V’ and ‘N’ respectively, and in the sound of the additional words ‘LOVES VITTORIO’ of the contested sign, which have no counterparts in the earlier mark</w:t>
      </w:r>
      <w:r w:rsidR="004672B6" w:rsidRPr="00E82D46">
        <w:t xml:space="preserve">. </w:t>
      </w:r>
    </w:p>
    <w:p w14:paraId="168C223C" w14:textId="5AD5CA80" w:rsidR="003E1A90" w:rsidRPr="00E82D46" w:rsidRDefault="00F17297">
      <w:pPr>
        <w:jc w:val="both"/>
      </w:pPr>
      <w:r w:rsidRPr="00E82D46">
        <w:t> </w:t>
      </w:r>
    </w:p>
    <w:p w14:paraId="168C223D" w14:textId="06FDE898" w:rsidR="003E1A90" w:rsidRPr="00E82D46" w:rsidRDefault="00F17297">
      <w:pPr>
        <w:jc w:val="both"/>
      </w:pPr>
      <w:r w:rsidRPr="00E82D46">
        <w:t>Therefore, the signs are</w:t>
      </w:r>
      <w:r w:rsidR="00D2233C" w:rsidRPr="00E82D46">
        <w:t xml:space="preserve"> </w:t>
      </w:r>
      <w:r w:rsidR="00D2233C" w:rsidRPr="00E82D46">
        <w:rPr>
          <w:u w:val="single"/>
        </w:rPr>
        <w:t xml:space="preserve">aurally </w:t>
      </w:r>
      <w:r w:rsidRPr="00E82D46">
        <w:rPr>
          <w:u w:val="single"/>
        </w:rPr>
        <w:t>similar to a</w:t>
      </w:r>
      <w:r w:rsidR="005D7F4D" w:rsidRPr="00E82D46">
        <w:rPr>
          <w:u w:val="single"/>
        </w:rPr>
        <w:t xml:space="preserve"> very</w:t>
      </w:r>
      <w:r w:rsidRPr="00E82D46">
        <w:rPr>
          <w:u w:val="single"/>
        </w:rPr>
        <w:t xml:space="preserve"> low degree</w:t>
      </w:r>
      <w:r w:rsidR="00D2233C" w:rsidRPr="00E82D46">
        <w:t xml:space="preserve">. </w:t>
      </w:r>
    </w:p>
    <w:p w14:paraId="168C224A" w14:textId="5DCD2071" w:rsidR="003E1A90" w:rsidRPr="00E82D46" w:rsidRDefault="00F17297">
      <w:pPr>
        <w:jc w:val="both"/>
      </w:pPr>
      <w:r w:rsidRPr="00E82D46">
        <w:t> </w:t>
      </w:r>
      <w:bookmarkStart w:id="17" w:name="chk-paragraph-8-2-3-2-8_nodeId-190523850"/>
      <w:bookmarkEnd w:id="16"/>
      <w:r w:rsidRPr="00E82D46">
        <w:t> </w:t>
      </w:r>
    </w:p>
    <w:p w14:paraId="1D9C9438" w14:textId="1906B528" w:rsidR="00B62561" w:rsidRPr="00E82D46" w:rsidRDefault="00F17297" w:rsidP="00B62561">
      <w:pPr>
        <w:pStyle w:val="Editable"/>
        <w:rPr>
          <w:spacing w:val="-3"/>
        </w:rPr>
      </w:pPr>
      <w:r w:rsidRPr="00E82D46">
        <w:rPr>
          <w:b/>
        </w:rPr>
        <w:t>Conceptually</w:t>
      </w:r>
      <w:r w:rsidRPr="00E82D46">
        <w:rPr>
          <w:bCs/>
          <w:iCs/>
        </w:rPr>
        <w:t>,</w:t>
      </w:r>
      <w:r w:rsidR="00E47D6E" w:rsidRPr="00E82D46">
        <w:rPr>
          <w:bCs/>
          <w:iCs/>
        </w:rPr>
        <w:t xml:space="preserve"> </w:t>
      </w:r>
      <w:r w:rsidR="00B62561" w:rsidRPr="00E82D46">
        <w:rPr>
          <w:rStyle w:val="DecisionChar"/>
        </w:rPr>
        <w:t>although the public in the relevant territory will perceive the meanings</w:t>
      </w:r>
      <w:r w:rsidR="00B62561" w:rsidRPr="00E82D46">
        <w:rPr>
          <w:spacing w:val="-3"/>
        </w:rPr>
        <w:t xml:space="preserve"> </w:t>
      </w:r>
      <w:r w:rsidR="00B62561" w:rsidRPr="00E82D46">
        <w:rPr>
          <w:rStyle w:val="DecisionChar"/>
        </w:rPr>
        <w:t xml:space="preserve">of the </w:t>
      </w:r>
      <w:r w:rsidR="00B62561" w:rsidRPr="00E82D46">
        <w:rPr>
          <w:spacing w:val="-3"/>
        </w:rPr>
        <w:t xml:space="preserve">contested sign </w:t>
      </w:r>
      <w:r w:rsidR="00B62561" w:rsidRPr="00E82D46">
        <w:rPr>
          <w:rStyle w:val="DecisionChar"/>
        </w:rPr>
        <w:t>as explained above, the other sign has no meaning in that territory</w:t>
      </w:r>
      <w:r w:rsidR="00B62561" w:rsidRPr="00E82D46">
        <w:rPr>
          <w:spacing w:val="-3"/>
        </w:rPr>
        <w:t xml:space="preserve">. </w:t>
      </w:r>
      <w:r w:rsidR="00B62561" w:rsidRPr="00E82D46">
        <w:rPr>
          <w:rStyle w:val="DecisionChar"/>
        </w:rPr>
        <w:t xml:space="preserve">Since one of the signs will not be associated with any meaning, the signs are </w:t>
      </w:r>
      <w:r w:rsidR="00B62561" w:rsidRPr="00E82D46">
        <w:rPr>
          <w:rStyle w:val="DecisionChar"/>
          <w:u w:val="single"/>
        </w:rPr>
        <w:t>not conceptually similar</w:t>
      </w:r>
      <w:r w:rsidR="00B62561" w:rsidRPr="00E82D46">
        <w:rPr>
          <w:spacing w:val="-3"/>
        </w:rPr>
        <w:t>.</w:t>
      </w:r>
    </w:p>
    <w:p w14:paraId="168C2258" w14:textId="58CEB3F2" w:rsidR="003E1A90" w:rsidRPr="00E82D46" w:rsidRDefault="00F17297">
      <w:pPr>
        <w:jc w:val="both"/>
      </w:pPr>
      <w:r w:rsidRPr="00E82D46">
        <w:t> </w:t>
      </w:r>
    </w:p>
    <w:p w14:paraId="168C2264" w14:textId="59E24395" w:rsidR="003E1A90" w:rsidRPr="00E82D46" w:rsidRDefault="00F17297">
      <w:pPr>
        <w:jc w:val="both"/>
      </w:pPr>
      <w:bookmarkStart w:id="18" w:name="chk-paragraph-8-2-3-2-9-1_nodeId--592845"/>
      <w:bookmarkEnd w:id="17"/>
      <w:r w:rsidRPr="00E82D46">
        <w:t>As the signs have been found similar in at least one aspect of the comparison, the examination of likelihood of confusion will proceed.</w:t>
      </w:r>
    </w:p>
    <w:p w14:paraId="58478F3B" w14:textId="77777777" w:rsidR="00E47D6E" w:rsidRPr="00E82D46" w:rsidRDefault="00E47D6E">
      <w:pPr>
        <w:jc w:val="both"/>
      </w:pPr>
    </w:p>
    <w:p w14:paraId="168C2265" w14:textId="291F8202" w:rsidR="003E1A90" w:rsidRPr="00E82D46" w:rsidRDefault="00F17297">
      <w:pPr>
        <w:jc w:val="both"/>
      </w:pPr>
      <w:r w:rsidRPr="00E82D46">
        <w:t> </w:t>
      </w:r>
    </w:p>
    <w:p w14:paraId="168C2266" w14:textId="6C97F41B" w:rsidR="003E1A90" w:rsidRPr="00E82D46" w:rsidRDefault="00F17297">
      <w:pPr>
        <w:jc w:val="both"/>
      </w:pPr>
      <w:bookmarkStart w:id="19" w:name="chk-paragraph-8-2-4_nodeId-712655740"/>
      <w:bookmarkEnd w:id="18"/>
      <w:r w:rsidRPr="00E82D46">
        <w:rPr>
          <w:b/>
        </w:rPr>
        <w:t>d) Distinctiveness of the earlier mark</w:t>
      </w:r>
    </w:p>
    <w:p w14:paraId="168C2267" w14:textId="73379A57" w:rsidR="003E1A90" w:rsidRPr="00E82D46" w:rsidRDefault="00F17297">
      <w:pPr>
        <w:jc w:val="both"/>
      </w:pPr>
      <w:r w:rsidRPr="00E82D46">
        <w:t> </w:t>
      </w:r>
    </w:p>
    <w:p w14:paraId="168C2268" w14:textId="77777777" w:rsidR="003E1A90" w:rsidRPr="00E82D46" w:rsidRDefault="00F17297">
      <w:pPr>
        <w:jc w:val="both"/>
      </w:pPr>
      <w:r w:rsidRPr="00E82D46">
        <w:t>The distinctiveness of the earlier mark is one of the factors to be taken into account in the global assessment of likelihood of confusion.</w:t>
      </w:r>
    </w:p>
    <w:p w14:paraId="168C2269" w14:textId="366B92BF" w:rsidR="003E1A90" w:rsidRPr="00E82D46" w:rsidRDefault="00F17297">
      <w:pPr>
        <w:jc w:val="both"/>
      </w:pPr>
      <w:r w:rsidRPr="00E82D46">
        <w:t> </w:t>
      </w:r>
    </w:p>
    <w:p w14:paraId="168C226A" w14:textId="77777777" w:rsidR="003E1A90" w:rsidRPr="00E82D46" w:rsidRDefault="00F17297">
      <w:pPr>
        <w:jc w:val="both"/>
      </w:pPr>
      <w:bookmarkStart w:id="20" w:name="chk-paragraph-8-2-4-1_nodeId--1914825643"/>
      <w:bookmarkEnd w:id="19"/>
      <w:r w:rsidRPr="00E82D46">
        <w:t>The opponent did not explicitly claim that its mark is particularly distinctive by virtue of intensive use or reputation.</w:t>
      </w:r>
    </w:p>
    <w:p w14:paraId="168C226B" w14:textId="35E02849" w:rsidR="003E1A90" w:rsidRPr="00E82D46" w:rsidRDefault="00F17297">
      <w:pPr>
        <w:jc w:val="both"/>
      </w:pPr>
      <w:r w:rsidRPr="00E82D46">
        <w:t> </w:t>
      </w:r>
    </w:p>
    <w:p w14:paraId="168C226C" w14:textId="715D33F5" w:rsidR="003E1A90" w:rsidRPr="00E82D46" w:rsidRDefault="00F17297">
      <w:pPr>
        <w:jc w:val="both"/>
      </w:pPr>
      <w:bookmarkStart w:id="21" w:name="chk-paragraph-8-2-4-1-1_nodeId-136658458"/>
      <w:bookmarkEnd w:id="20"/>
      <w:r w:rsidRPr="00E82D46">
        <w:t>Consequently, the assessment of the distinctiveness of the earlier mark will rest on its distinctiveness per se. In the present case, the earlier trade mark as a whole has no meaning for any of the</w:t>
      </w:r>
      <w:r w:rsidR="002E34B7" w:rsidRPr="00E82D46">
        <w:t xml:space="preserve"> </w:t>
      </w:r>
      <w:r w:rsidRPr="00E82D46">
        <w:t>good</w:t>
      </w:r>
      <w:r w:rsidR="002E34B7" w:rsidRPr="00E82D46">
        <w:t xml:space="preserve">s </w:t>
      </w:r>
      <w:r w:rsidRPr="00E82D46">
        <w:t>in question from the perspective of the public in the relevant territory. Therefore, the distinctiveness of the earlier mark must be seen as normal</w:t>
      </w:r>
      <w:r w:rsidR="002E34B7" w:rsidRPr="00E82D46">
        <w:t xml:space="preserve">. </w:t>
      </w:r>
    </w:p>
    <w:p w14:paraId="1F9F2C00" w14:textId="77777777" w:rsidR="002E34B7" w:rsidRPr="00E82D46" w:rsidRDefault="002E34B7">
      <w:pPr>
        <w:jc w:val="both"/>
      </w:pPr>
    </w:p>
    <w:p w14:paraId="168C226D" w14:textId="1A4E671C" w:rsidR="003E1A90" w:rsidRPr="00E82D46" w:rsidRDefault="00F17297">
      <w:pPr>
        <w:jc w:val="both"/>
      </w:pPr>
      <w:r w:rsidRPr="00E82D46">
        <w:t> </w:t>
      </w:r>
    </w:p>
    <w:p w14:paraId="168C226E" w14:textId="564531F0" w:rsidR="003E1A90" w:rsidRPr="00E82D46" w:rsidRDefault="00F17297">
      <w:pPr>
        <w:jc w:val="both"/>
      </w:pPr>
      <w:bookmarkStart w:id="22" w:name="chk-paragraph-8-2-5_nodeId--1332642858"/>
      <w:bookmarkEnd w:id="21"/>
      <w:r w:rsidRPr="00E82D46">
        <w:rPr>
          <w:b/>
        </w:rPr>
        <w:t>e) Global assessment</w:t>
      </w:r>
      <w:r w:rsidR="002011D0" w:rsidRPr="00E82D46">
        <w:rPr>
          <w:b/>
        </w:rPr>
        <w:t xml:space="preserve"> </w:t>
      </w:r>
      <w:r w:rsidRPr="00E82D46">
        <w:rPr>
          <w:b/>
        </w:rPr>
        <w:t>and conclusion</w:t>
      </w:r>
    </w:p>
    <w:p w14:paraId="19C8026A" w14:textId="77777777" w:rsidR="00C56E42" w:rsidRPr="00E82D46" w:rsidRDefault="00C56E42">
      <w:pPr>
        <w:jc w:val="both"/>
      </w:pPr>
    </w:p>
    <w:p w14:paraId="4BF84758" w14:textId="3361E721" w:rsidR="007E1CB7" w:rsidRPr="00E82D46" w:rsidRDefault="00C56E42" w:rsidP="007D5F4A">
      <w:pPr>
        <w:jc w:val="both"/>
      </w:pPr>
      <w:r w:rsidRPr="00E82D46">
        <w:t>The goods have been assumed to be identical and target</w:t>
      </w:r>
      <w:r w:rsidR="005A323D" w:rsidRPr="00E82D46">
        <w:t xml:space="preserve"> both</w:t>
      </w:r>
      <w:r w:rsidRPr="00E82D46">
        <w:t xml:space="preserve"> the general </w:t>
      </w:r>
      <w:r w:rsidR="005A323D" w:rsidRPr="00E82D46">
        <w:t xml:space="preserve">and the professional </w:t>
      </w:r>
      <w:r w:rsidRPr="00E82D46">
        <w:t xml:space="preserve">public with </w:t>
      </w:r>
      <w:r w:rsidR="00E531AE" w:rsidRPr="00E82D46">
        <w:t xml:space="preserve">a </w:t>
      </w:r>
      <w:r w:rsidRPr="00E82D46">
        <w:t>degree of attention</w:t>
      </w:r>
      <w:r w:rsidR="00E531AE" w:rsidRPr="00E82D46">
        <w:t xml:space="preserve"> varying from average to above average</w:t>
      </w:r>
      <w:r w:rsidRPr="00E82D46">
        <w:t xml:space="preserve">. The signs are visually and aurally similar to a very low degree and conceptually not similar. The only </w:t>
      </w:r>
      <w:r w:rsidR="00C60CCB" w:rsidRPr="00E82D46">
        <w:t>points of contact</w:t>
      </w:r>
      <w:r w:rsidRPr="00E82D46">
        <w:t xml:space="preserve"> are in the letter ‘L’ and in the representation of the two letters</w:t>
      </w:r>
      <w:r w:rsidR="00146C68" w:rsidRPr="00E82D46">
        <w:t xml:space="preserve"> (juxtaposed)</w:t>
      </w:r>
      <w:r w:rsidRPr="00E82D46">
        <w:t xml:space="preserve">, with a similar font. </w:t>
      </w:r>
    </w:p>
    <w:p w14:paraId="3EE9DCFF" w14:textId="77777777" w:rsidR="007E1CB7" w:rsidRPr="00E82D46" w:rsidRDefault="007E1CB7" w:rsidP="007D5F4A">
      <w:pPr>
        <w:jc w:val="both"/>
      </w:pPr>
    </w:p>
    <w:p w14:paraId="168C2284" w14:textId="0B79CBC1" w:rsidR="003E1A90" w:rsidRPr="00E82D46" w:rsidRDefault="00C60CCB" w:rsidP="00082992">
      <w:pPr>
        <w:jc w:val="both"/>
        <w:rPr>
          <w:bCs/>
        </w:rPr>
      </w:pPr>
      <w:r w:rsidRPr="00E82D46">
        <w:t xml:space="preserve">This is not sufficient to lead to a likelihood of confusion, especially considering </w:t>
      </w:r>
      <w:r w:rsidR="00AB2A2F" w:rsidRPr="00E82D46">
        <w:t xml:space="preserve">that the other letter is different (‘V/N’) and </w:t>
      </w:r>
      <w:r w:rsidRPr="00E82D46">
        <w:t xml:space="preserve">the quite remarkable presence of additional words in the contested sign. As already </w:t>
      </w:r>
      <w:r w:rsidR="008874C9" w:rsidRPr="00E82D46">
        <w:t>introduced</w:t>
      </w:r>
      <w:r w:rsidRPr="00E82D46">
        <w:t xml:space="preserve"> above, the mere use of a similar stylisation, in presence of different elements of the signs, is not sufficient to lead the relevant public to think that the goods </w:t>
      </w:r>
      <w:r w:rsidR="005B052C" w:rsidRPr="00E82D46">
        <w:t xml:space="preserve">at issue </w:t>
      </w:r>
      <w:r w:rsidRPr="00E82D46">
        <w:t xml:space="preserve">can originate from the same or a </w:t>
      </w:r>
      <w:r w:rsidR="003C7FCC" w:rsidRPr="00E82D46">
        <w:rPr>
          <w:lang w:val="en-IE"/>
        </w:rPr>
        <w:t xml:space="preserve">economically linked </w:t>
      </w:r>
      <w:r w:rsidRPr="00E82D46">
        <w:t xml:space="preserve">undertaking. </w:t>
      </w:r>
      <w:r w:rsidR="008874C9" w:rsidRPr="00E82D46">
        <w:t xml:space="preserve">In fact, </w:t>
      </w:r>
      <w:r w:rsidR="007D5F4A" w:rsidRPr="00E82D46">
        <w:rPr>
          <w:iCs/>
        </w:rPr>
        <w:t>it is to be noted</w:t>
      </w:r>
      <w:r w:rsidR="007D5F4A" w:rsidRPr="00E82D46">
        <w:rPr>
          <w:bCs/>
        </w:rPr>
        <w:t xml:space="preserve"> that </w:t>
      </w:r>
      <w:r w:rsidR="007D5F4A" w:rsidRPr="00E82D46">
        <w:t xml:space="preserve">consumers when encountering a fanciful stylisation of a verbal element tend to find the easiest way to address it and, based on their common knowledge and previous experience of the market, will tend to perceive a sign beyond its stylisation as </w:t>
      </w:r>
      <w:r w:rsidR="00553242" w:rsidRPr="00E82D46">
        <w:t xml:space="preserve">a </w:t>
      </w:r>
      <w:r w:rsidR="007D5F4A" w:rsidRPr="00E82D46">
        <w:t>string of letters forming a verbal element.</w:t>
      </w:r>
      <w:r w:rsidR="007D5F4A" w:rsidRPr="00E82D46">
        <w:rPr>
          <w:bCs/>
        </w:rPr>
        <w:t xml:space="preserve"> Therefore, despite </w:t>
      </w:r>
      <w:r w:rsidR="00571BC4" w:rsidRPr="00E82D46">
        <w:rPr>
          <w:bCs/>
        </w:rPr>
        <w:t>their</w:t>
      </w:r>
      <w:r w:rsidR="007D5F4A" w:rsidRPr="00E82D46">
        <w:rPr>
          <w:bCs/>
        </w:rPr>
        <w:t xml:space="preserve"> stylisation, </w:t>
      </w:r>
      <w:r w:rsidR="007D5F4A" w:rsidRPr="00E82D46">
        <w:rPr>
          <w:lang w:val="en-GB"/>
        </w:rPr>
        <w:t xml:space="preserve">the relevant public will be able to perceive </w:t>
      </w:r>
      <w:r w:rsidR="007D5F4A" w:rsidRPr="00E82D46">
        <w:t xml:space="preserve">immediately the </w:t>
      </w:r>
      <w:r w:rsidR="000C623C" w:rsidRPr="00E82D46">
        <w:t>letters</w:t>
      </w:r>
      <w:r w:rsidR="00571BC4" w:rsidRPr="00E82D46">
        <w:t xml:space="preserve"> ‘LV’ (or ‘VL’) in the earlier mark and</w:t>
      </w:r>
      <w:r w:rsidR="00CB3825" w:rsidRPr="00E82D46">
        <w:t xml:space="preserve"> ‘NL’ (or ‘LN’)</w:t>
      </w:r>
      <w:r w:rsidR="00571BC4" w:rsidRPr="00E82D46">
        <w:t xml:space="preserve"> </w:t>
      </w:r>
      <w:r w:rsidR="007D5F4A" w:rsidRPr="00E82D46">
        <w:rPr>
          <w:lang w:val="en-GB"/>
        </w:rPr>
        <w:t>in the contested sign.</w:t>
      </w:r>
      <w:r w:rsidR="007D5F4A" w:rsidRPr="00E82D46">
        <w:rPr>
          <w:bCs/>
          <w:lang w:val="en-GB"/>
        </w:rPr>
        <w:t xml:space="preserve"> </w:t>
      </w:r>
      <w:r w:rsidR="00082992" w:rsidRPr="00E82D46">
        <w:rPr>
          <w:bCs/>
          <w:lang w:val="en-GB"/>
        </w:rPr>
        <w:t xml:space="preserve">As explained above, the earlier mark </w:t>
      </w:r>
      <w:bookmarkStart w:id="23" w:name="chk-paragraph-8-2-5-5_nodeId-785635953"/>
      <w:bookmarkEnd w:id="22"/>
      <w:r w:rsidR="00082992" w:rsidRPr="00E82D46">
        <w:rPr>
          <w:bCs/>
        </w:rPr>
        <w:t xml:space="preserve">is a </w:t>
      </w:r>
      <w:r w:rsidR="00F17297" w:rsidRPr="00E82D46">
        <w:t xml:space="preserve">short mark and the fact that </w:t>
      </w:r>
      <w:r w:rsidR="004B3176" w:rsidRPr="00E82D46">
        <w:t xml:space="preserve">it has only one letter in common with the first two letters of the contested sign </w:t>
      </w:r>
      <w:r w:rsidR="00F17297" w:rsidRPr="00E82D46">
        <w:t>is a relevant factor to consider when evaluating the likelihood of confusion between the conflicting signs:</w:t>
      </w:r>
      <w:r w:rsidR="00892017" w:rsidRPr="00E82D46">
        <w:t xml:space="preserve"> </w:t>
      </w:r>
      <w:r w:rsidR="00F17297" w:rsidRPr="00E82D46">
        <w:t>the signs are not sufficiently similar to lead to a likelihood of confusion.</w:t>
      </w:r>
    </w:p>
    <w:p w14:paraId="168C2285" w14:textId="1F2757FD" w:rsidR="003E1A90" w:rsidRPr="00E82D46" w:rsidRDefault="00F17297">
      <w:pPr>
        <w:jc w:val="both"/>
      </w:pPr>
      <w:r w:rsidRPr="00E82D46">
        <w:t> </w:t>
      </w:r>
    </w:p>
    <w:p w14:paraId="168C228A" w14:textId="62636D41" w:rsidR="003E1A90" w:rsidRPr="00E82D46" w:rsidRDefault="00F17297">
      <w:pPr>
        <w:jc w:val="both"/>
      </w:pPr>
      <w:bookmarkStart w:id="24" w:name="chk-paragraph-8-2-7_nodeId-1620323765"/>
      <w:bookmarkEnd w:id="23"/>
      <w:r w:rsidRPr="00E82D46">
        <w:t>Considering all the above,</w:t>
      </w:r>
      <w:r w:rsidR="00E6024D" w:rsidRPr="00E82D46">
        <w:t xml:space="preserve"> </w:t>
      </w:r>
      <w:r w:rsidRPr="00E82D46">
        <w:t>even assuming that the</w:t>
      </w:r>
      <w:r w:rsidR="00E6024D" w:rsidRPr="00E82D46">
        <w:t xml:space="preserve"> </w:t>
      </w:r>
      <w:r w:rsidRPr="00E82D46">
        <w:t>goods</w:t>
      </w:r>
      <w:r w:rsidR="00E6024D" w:rsidRPr="00E82D46">
        <w:rPr>
          <w:b/>
        </w:rPr>
        <w:t xml:space="preserve"> </w:t>
      </w:r>
      <w:r w:rsidRPr="00E82D46">
        <w:t>are</w:t>
      </w:r>
      <w:r w:rsidR="00E6024D" w:rsidRPr="00E82D46">
        <w:t xml:space="preserve"> </w:t>
      </w:r>
      <w:r w:rsidRPr="00E82D46">
        <w:t>identical,</w:t>
      </w:r>
      <w:r w:rsidR="00E6024D" w:rsidRPr="00E82D46">
        <w:t xml:space="preserve"> </w:t>
      </w:r>
      <w:r w:rsidRPr="00E82D46">
        <w:t>there is no likelihood of confusion on the part of the public. Therefore, the opposition must be rejected</w:t>
      </w:r>
      <w:r w:rsidR="00F20C7E" w:rsidRPr="00E82D46">
        <w:t xml:space="preserve"> insofar as this ground is concerned</w:t>
      </w:r>
      <w:r w:rsidR="00C520CC" w:rsidRPr="00E82D46">
        <w:t xml:space="preserve">. </w:t>
      </w:r>
    </w:p>
    <w:p w14:paraId="07C22259" w14:textId="6B5AEF15" w:rsidR="006A058B" w:rsidRPr="00E82D46" w:rsidRDefault="00F17297">
      <w:pPr>
        <w:jc w:val="both"/>
      </w:pPr>
      <w:r w:rsidRPr="00E82D46">
        <w:t> </w:t>
      </w:r>
    </w:p>
    <w:p w14:paraId="168C2290" w14:textId="210D90F1" w:rsidR="003E1A90" w:rsidRPr="00E82D46" w:rsidRDefault="006A058B">
      <w:pPr>
        <w:jc w:val="both"/>
      </w:pPr>
      <w:r w:rsidRPr="00E82D46">
        <w:t xml:space="preserve">The opponent invoked Article 8(1)(a) EUTMR in relation to international trade mark registration designating the European Union No 1 127 687. </w:t>
      </w:r>
      <w:bookmarkStart w:id="25" w:name="chk-paragraph-8-2-7-4_nodeId-468329201"/>
      <w:bookmarkEnd w:id="24"/>
      <w:r w:rsidR="003156A1" w:rsidRPr="00E82D46">
        <w:t>The</w:t>
      </w:r>
      <w:r w:rsidR="00F17297" w:rsidRPr="00E82D46">
        <w:t xml:space="preserve"> opposition must also fail insofar as based on grounds under Article</w:t>
      </w:r>
      <w:r w:rsidRPr="00E82D46">
        <w:t> </w:t>
      </w:r>
      <w:r w:rsidR="00F17297" w:rsidRPr="00E82D46">
        <w:t>8(1)(a) EUTMR because the signs are obviously not identical.</w:t>
      </w:r>
    </w:p>
    <w:p w14:paraId="62343304" w14:textId="77777777" w:rsidR="007B2E05" w:rsidRPr="00E82D46" w:rsidRDefault="007B2E05">
      <w:pPr>
        <w:jc w:val="both"/>
      </w:pPr>
    </w:p>
    <w:p w14:paraId="168C2291" w14:textId="22B1909D" w:rsidR="003E1A90" w:rsidRPr="00E82D46" w:rsidRDefault="00F17297">
      <w:pPr>
        <w:jc w:val="both"/>
      </w:pPr>
      <w:r w:rsidRPr="00E82D46">
        <w:t> </w:t>
      </w:r>
    </w:p>
    <w:p w14:paraId="168C2292" w14:textId="77777777" w:rsidR="003E1A90" w:rsidRPr="00E82D46" w:rsidRDefault="00F17297">
      <w:pPr>
        <w:jc w:val="both"/>
      </w:pPr>
      <w:bookmarkStart w:id="26" w:name="chk-paragraph-9_nodeId--1736014671"/>
      <w:bookmarkEnd w:id="25"/>
      <w:r w:rsidRPr="00E82D46">
        <w:rPr>
          <w:b/>
        </w:rPr>
        <w:t>REPUTATION — ARTICLE 8(5) EUTMR</w:t>
      </w:r>
    </w:p>
    <w:p w14:paraId="168C2299" w14:textId="7CE51ACF" w:rsidR="003E1A90" w:rsidRPr="00E82D46" w:rsidRDefault="00F17297">
      <w:pPr>
        <w:jc w:val="both"/>
      </w:pPr>
      <w:r w:rsidRPr="00E82D46">
        <w:t>  </w:t>
      </w:r>
    </w:p>
    <w:p w14:paraId="168126AE" w14:textId="005F4807" w:rsidR="001C7C63" w:rsidRPr="00E82D46" w:rsidRDefault="001C7C63">
      <w:pPr>
        <w:jc w:val="both"/>
      </w:pPr>
      <w:r w:rsidRPr="00E82D46">
        <w:t>The opponent invoked Article</w:t>
      </w:r>
      <w:r w:rsidR="001208A1" w:rsidRPr="00E82D46">
        <w:t> </w:t>
      </w:r>
      <w:r w:rsidRPr="00E82D46">
        <w:t xml:space="preserve">8(5) EUTMR in relation to both earlier </w:t>
      </w:r>
      <w:r w:rsidR="00D47A7E" w:rsidRPr="00E82D46">
        <w:t xml:space="preserve">figurative </w:t>
      </w:r>
      <w:r w:rsidRPr="00E82D46">
        <w:t>marks</w:t>
      </w:r>
      <w:r w:rsidR="00D47A7E" w:rsidRPr="00E82D46">
        <w:t xml:space="preserve"> </w:t>
      </w:r>
      <w:r w:rsidR="00D47A7E" w:rsidRPr="00E82D46">
        <w:rPr>
          <w:noProof/>
        </w:rPr>
        <w:drawing>
          <wp:inline distT="0" distB="0" distL="0" distR="0" wp14:anchorId="3B415935" wp14:editId="55081AEC">
            <wp:extent cx="815213" cy="8346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35156" cy="855110"/>
                    </a:xfrm>
                    <a:prstGeom prst="rect">
                      <a:avLst/>
                    </a:prstGeom>
                  </pic:spPr>
                </pic:pic>
              </a:graphicData>
            </a:graphic>
          </wp:inline>
        </w:drawing>
      </w:r>
      <w:r w:rsidRPr="00E82D46">
        <w:t xml:space="preserve">, EUTM registration No 15 628 and international trade mark registration designating the European Union No 1 127 687. </w:t>
      </w:r>
    </w:p>
    <w:p w14:paraId="17389F92" w14:textId="77777777" w:rsidR="001C7C63" w:rsidRPr="00E82D46" w:rsidRDefault="001C7C63">
      <w:pPr>
        <w:jc w:val="both"/>
      </w:pPr>
    </w:p>
    <w:p w14:paraId="168C229A" w14:textId="61394514" w:rsidR="003E1A90" w:rsidRPr="00E82D46" w:rsidRDefault="00F17297">
      <w:pPr>
        <w:jc w:val="both"/>
      </w:pPr>
      <w:r w:rsidRPr="00E82D46">
        <w:t>According to Article 8(5) EUTMR, upon opposition by the proprietor of a registered earlier trade mark within the meaning of Article 8(2) EUTMR, the contested trade mark will not be registered where it is identical with, or similar to, an earlier trade mark, irrespective of whether the goods or services for which it is applied are identical with, similar to or not similar to those for which the earlier trade mark is registered, where, in the case of an earlier European Union trade mark, the trade mark has a reputation in the Union or, in the case of an earlier national trade mark, the trade mark has a reputation in the Member State concerned and where the use without due cause of the contested trade mark would take unfair advantage of, or be detrimental to, the distinctive character or the repute of the earlier trade mark.</w:t>
      </w:r>
    </w:p>
    <w:p w14:paraId="168C229B" w14:textId="6460CEED" w:rsidR="003E1A90" w:rsidRPr="00E82D46" w:rsidRDefault="00F17297">
      <w:pPr>
        <w:jc w:val="both"/>
      </w:pPr>
      <w:r w:rsidRPr="00E82D46">
        <w:t> </w:t>
      </w:r>
    </w:p>
    <w:p w14:paraId="168C229C" w14:textId="1339582D" w:rsidR="003E1A90" w:rsidRPr="00E82D46" w:rsidRDefault="00F17297">
      <w:pPr>
        <w:jc w:val="both"/>
      </w:pPr>
      <w:bookmarkStart w:id="27" w:name="chk-paragraph-9-2_nodeId-1085562065"/>
      <w:bookmarkEnd w:id="26"/>
      <w:r w:rsidRPr="00E82D46">
        <w:t>According to Article</w:t>
      </w:r>
      <w:r w:rsidR="00521141" w:rsidRPr="00E82D46">
        <w:t> </w:t>
      </w:r>
      <w:r w:rsidRPr="00E82D46">
        <w:t>95(1) EUTMR, in proceedings before it the Office will examine the facts of its own motion; however, in proceedings relating to relative grounds for refusal of registration, the Office will be restricted in this examination to the facts, evidence and arguments provided by the parties and the relief sought. </w:t>
      </w:r>
    </w:p>
    <w:p w14:paraId="168C229D" w14:textId="6A3A12BC" w:rsidR="003E1A90" w:rsidRPr="00E82D46" w:rsidRDefault="00F17297">
      <w:pPr>
        <w:jc w:val="both"/>
      </w:pPr>
      <w:r w:rsidRPr="00E82D46">
        <w:t> </w:t>
      </w:r>
    </w:p>
    <w:p w14:paraId="168C229E" w14:textId="77777777" w:rsidR="003E1A90" w:rsidRPr="00E82D46" w:rsidRDefault="00F17297">
      <w:pPr>
        <w:jc w:val="both"/>
      </w:pPr>
      <w:r w:rsidRPr="00E82D46">
        <w:t>It follows that the Office cannot take into account any alleged rights for which the opponent does not submit appropriate evidence.</w:t>
      </w:r>
    </w:p>
    <w:p w14:paraId="168C229F" w14:textId="499368C7" w:rsidR="003E1A90" w:rsidRPr="00E82D46" w:rsidRDefault="00F17297">
      <w:pPr>
        <w:jc w:val="both"/>
      </w:pPr>
      <w:r w:rsidRPr="00E82D46">
        <w:t> </w:t>
      </w:r>
    </w:p>
    <w:p w14:paraId="168C22A0" w14:textId="7E741B78" w:rsidR="003E1A90" w:rsidRPr="00E82D46" w:rsidRDefault="00F17297">
      <w:pPr>
        <w:jc w:val="both"/>
      </w:pPr>
      <w:bookmarkStart w:id="28" w:name="chk-paragraph-9-2-1_nodeId--1241967366"/>
      <w:bookmarkEnd w:id="27"/>
      <w:r w:rsidRPr="00E82D46">
        <w:t>According to Article 7(1) EUTMDR,</w:t>
      </w:r>
      <w:r w:rsidR="00521141" w:rsidRPr="00E82D46">
        <w:t xml:space="preserve"> </w:t>
      </w:r>
      <w:r w:rsidRPr="00E82D46">
        <w:t>the Office will give the opposing party the opportunity to present the facts, evidence and arguments in support of its opposition or to complete any facts, evidence or arguments that have already been submitted together with the notice of opposition, within a time limit specified by the Office.</w:t>
      </w:r>
    </w:p>
    <w:p w14:paraId="168C22A1" w14:textId="35B27B41" w:rsidR="003E1A90" w:rsidRPr="00E82D46" w:rsidRDefault="00F17297">
      <w:pPr>
        <w:jc w:val="both"/>
      </w:pPr>
      <w:r w:rsidRPr="00E82D46">
        <w:t> </w:t>
      </w:r>
    </w:p>
    <w:p w14:paraId="168C22A2" w14:textId="25CA8DCE" w:rsidR="003E1A90" w:rsidRPr="00E82D46" w:rsidRDefault="00F17297">
      <w:pPr>
        <w:jc w:val="both"/>
      </w:pPr>
      <w:r w:rsidRPr="00E82D46">
        <w:t>According to</w:t>
      </w:r>
      <w:r w:rsidR="00521141" w:rsidRPr="00E82D46">
        <w:t xml:space="preserve"> </w:t>
      </w:r>
      <w:r w:rsidRPr="00E82D46">
        <w:t>Article</w:t>
      </w:r>
      <w:r w:rsidR="00521141" w:rsidRPr="00E82D46">
        <w:t> </w:t>
      </w:r>
      <w:r w:rsidRPr="00E82D46">
        <w:t>7(2)(f) EUTMDR,</w:t>
      </w:r>
      <w:r w:rsidR="00521141" w:rsidRPr="00E82D46">
        <w:t xml:space="preserve"> </w:t>
      </w:r>
      <w:r w:rsidRPr="00E82D46">
        <w:t>when the opposition is based on a mark with reputation within the meaning of Article</w:t>
      </w:r>
      <w:r w:rsidR="00521141" w:rsidRPr="00E82D46">
        <w:t> </w:t>
      </w:r>
      <w:r w:rsidRPr="00E82D46">
        <w:t>8(5) EUTMR, the opposing</w:t>
      </w:r>
      <w:r w:rsidR="00E82D46" w:rsidRPr="00E82D46">
        <w:t xml:space="preserve"> </w:t>
      </w:r>
      <w:r w:rsidRPr="00E82D46">
        <w:t>party must provide evidence showing, inter alia, that the mark has a reputation, as well as evidence or arguments showing that use without due cause of the contested trade mark would take unfair advantage of, or be detrimental to, the distinctive character or the repute of the earlier trade mark.</w:t>
      </w:r>
    </w:p>
    <w:p w14:paraId="168C22A3" w14:textId="606BEC2A" w:rsidR="003E1A90" w:rsidRPr="00E82D46" w:rsidRDefault="00F17297">
      <w:pPr>
        <w:jc w:val="both"/>
      </w:pPr>
      <w:r w:rsidRPr="00E82D46">
        <w:t> </w:t>
      </w:r>
    </w:p>
    <w:p w14:paraId="168C22A4" w14:textId="77777777" w:rsidR="003E1A90" w:rsidRPr="00E82D46" w:rsidRDefault="00F17297">
      <w:pPr>
        <w:jc w:val="both"/>
      </w:pPr>
      <w:bookmarkStart w:id="29" w:name="chk-paragraph-9-2-3_nodeId--1302473299"/>
      <w:bookmarkEnd w:id="28"/>
      <w:r w:rsidRPr="00E82D46">
        <w:t>In the present case, the notice of opposition was not accompanied by any evidence of the alleged reputation of the earlier trade mark.</w:t>
      </w:r>
    </w:p>
    <w:p w14:paraId="168C22A5" w14:textId="41808AF7" w:rsidR="003E1A90" w:rsidRPr="00E82D46" w:rsidRDefault="00F17297">
      <w:pPr>
        <w:jc w:val="both"/>
      </w:pPr>
      <w:r w:rsidRPr="00E82D46">
        <w:t> </w:t>
      </w:r>
    </w:p>
    <w:p w14:paraId="168C22A6" w14:textId="2A395FFA" w:rsidR="003E1A90" w:rsidRPr="00E82D46" w:rsidRDefault="00F17297">
      <w:pPr>
        <w:jc w:val="both"/>
      </w:pPr>
      <w:r w:rsidRPr="00E82D46">
        <w:t>On </w:t>
      </w:r>
      <w:r w:rsidR="00277861" w:rsidRPr="00E82D46">
        <w:t>27/01/2021</w:t>
      </w:r>
      <w:r w:rsidRPr="00E82D46">
        <w:t> the opponent was given two months, commencing after the end of the cooling-off period, to submit the abovementioned material. This time limit expired on </w:t>
      </w:r>
      <w:r w:rsidR="00277861" w:rsidRPr="00E82D46">
        <w:t xml:space="preserve">01/06/2021. </w:t>
      </w:r>
    </w:p>
    <w:p w14:paraId="168C22A7" w14:textId="53F534AC" w:rsidR="003E1A90" w:rsidRPr="00E82D46" w:rsidRDefault="00F17297">
      <w:pPr>
        <w:jc w:val="both"/>
      </w:pPr>
      <w:r w:rsidRPr="00E82D46">
        <w:t> </w:t>
      </w:r>
    </w:p>
    <w:p w14:paraId="168C22A8" w14:textId="32A46F7E" w:rsidR="003E1A90" w:rsidRPr="00E82D46" w:rsidRDefault="00F17297">
      <w:pPr>
        <w:jc w:val="both"/>
      </w:pPr>
      <w:r w:rsidRPr="00E82D46">
        <w:t>The opponent did not submit any evidence concerning the reputation of the trade mark</w:t>
      </w:r>
      <w:r w:rsidR="003222D5" w:rsidRPr="00E82D46">
        <w:t>s</w:t>
      </w:r>
      <w:r w:rsidRPr="00E82D46">
        <w:t xml:space="preserve"> on which the opposition is based.</w:t>
      </w:r>
    </w:p>
    <w:p w14:paraId="168C22A9" w14:textId="76ED063B" w:rsidR="003E1A90" w:rsidRPr="00E82D46" w:rsidRDefault="00F17297">
      <w:pPr>
        <w:jc w:val="both"/>
      </w:pPr>
      <w:r w:rsidRPr="00E82D46">
        <w:t> </w:t>
      </w:r>
    </w:p>
    <w:p w14:paraId="168C22AA" w14:textId="0466FF75" w:rsidR="003E1A90" w:rsidRPr="00E82D46" w:rsidRDefault="00F17297">
      <w:pPr>
        <w:jc w:val="both"/>
      </w:pPr>
      <w:r w:rsidRPr="00E82D46">
        <w:t>Given that one of the necessary requirements of Article 8(5) EUTMR is not met, the opposition must be rejected as unfounded</w:t>
      </w:r>
      <w:r w:rsidR="003222D5" w:rsidRPr="00E82D46">
        <w:t xml:space="preserve"> </w:t>
      </w:r>
      <w:r w:rsidRPr="00E82D46">
        <w:t xml:space="preserve">insofar as </w:t>
      </w:r>
      <w:r w:rsidR="003222D5" w:rsidRPr="00E82D46">
        <w:t>this</w:t>
      </w:r>
      <w:r w:rsidRPr="00E82D46">
        <w:t xml:space="preserve"> ground </w:t>
      </w:r>
      <w:r w:rsidR="003222D5" w:rsidRPr="00E82D46">
        <w:t>is</w:t>
      </w:r>
      <w:r w:rsidRPr="00E82D46">
        <w:t xml:space="preserve"> concerned.</w:t>
      </w:r>
    </w:p>
    <w:p w14:paraId="55626B06" w14:textId="3BB0AD41" w:rsidR="00F20C7E" w:rsidRPr="00E82D46" w:rsidRDefault="00F20C7E">
      <w:pPr>
        <w:jc w:val="both"/>
      </w:pPr>
    </w:p>
    <w:p w14:paraId="03F37BEC" w14:textId="2EE5B007" w:rsidR="00F20C7E" w:rsidRPr="00E82D46" w:rsidRDefault="00F20C7E">
      <w:pPr>
        <w:jc w:val="both"/>
      </w:pPr>
      <w:r w:rsidRPr="00E82D46">
        <w:t>Therefore, the opposition must be rejected.</w:t>
      </w:r>
    </w:p>
    <w:p w14:paraId="168C22AB" w14:textId="321C9457" w:rsidR="003E1A90" w:rsidRPr="00E82D46" w:rsidRDefault="00F17297">
      <w:pPr>
        <w:jc w:val="both"/>
      </w:pPr>
      <w:r w:rsidRPr="00E82D46">
        <w:t> </w:t>
      </w:r>
    </w:p>
    <w:p w14:paraId="168C22AC" w14:textId="00DE6D19" w:rsidR="003E1A90" w:rsidRPr="00E82D46" w:rsidRDefault="00F17297">
      <w:bookmarkStart w:id="30" w:name="chk-paragraph-13_nodeId-1960858865"/>
      <w:bookmarkEnd w:id="29"/>
      <w:r w:rsidRPr="00E82D46">
        <w:t xml:space="preserve">    </w:t>
      </w:r>
    </w:p>
    <w:p w14:paraId="168C22AD" w14:textId="77777777" w:rsidR="003E1A90" w:rsidRPr="00E82D46" w:rsidRDefault="00F17297">
      <w:pPr>
        <w:jc w:val="both"/>
      </w:pPr>
      <w:bookmarkStart w:id="31" w:name="chk-paragraph-13-3_nodeId--2106770634"/>
      <w:bookmarkEnd w:id="30"/>
      <w:r w:rsidRPr="00E82D46">
        <w:rPr>
          <w:b/>
        </w:rPr>
        <w:t>COSTS</w:t>
      </w:r>
    </w:p>
    <w:p w14:paraId="168C22AE" w14:textId="2667AF0F" w:rsidR="003E1A90" w:rsidRPr="00E82D46" w:rsidRDefault="00F17297">
      <w:pPr>
        <w:jc w:val="both"/>
      </w:pPr>
      <w:r w:rsidRPr="00E82D46">
        <w:t> </w:t>
      </w:r>
    </w:p>
    <w:p w14:paraId="168C22AF" w14:textId="6C706368" w:rsidR="003E1A90" w:rsidRPr="00E82D46" w:rsidRDefault="00F17297">
      <w:pPr>
        <w:jc w:val="both"/>
      </w:pPr>
      <w:r w:rsidRPr="00E82D46">
        <w:t>According to Article 109(1) EUTMR, the losing party in opposition proceedings must bear the fees and costs incurred by the other party.</w:t>
      </w:r>
    </w:p>
    <w:p w14:paraId="168C22B0" w14:textId="28672694" w:rsidR="003E1A90" w:rsidRPr="00E82D46" w:rsidRDefault="00F17297">
      <w:pPr>
        <w:jc w:val="both"/>
      </w:pPr>
      <w:r w:rsidRPr="00E82D46">
        <w:t> </w:t>
      </w:r>
    </w:p>
    <w:p w14:paraId="168C22B1" w14:textId="6F060E38" w:rsidR="003E1A90" w:rsidRPr="00E82D46" w:rsidRDefault="00F17297">
      <w:pPr>
        <w:jc w:val="both"/>
      </w:pPr>
      <w:r w:rsidRPr="00E82D46">
        <w:t>Since the opponent is the losing party, it must bear the costs incurred by the</w:t>
      </w:r>
      <w:r w:rsidR="00F8241C" w:rsidRPr="00E82D46">
        <w:t xml:space="preserve"> </w:t>
      </w:r>
      <w:r w:rsidRPr="00E82D46">
        <w:t>applicant</w:t>
      </w:r>
      <w:r w:rsidR="00F8241C" w:rsidRPr="00E82D46">
        <w:t xml:space="preserve"> </w:t>
      </w:r>
      <w:r w:rsidRPr="00E82D46">
        <w:t>in the course of these proceedings.</w:t>
      </w:r>
    </w:p>
    <w:p w14:paraId="168C22B2" w14:textId="60A832DF" w:rsidR="003E1A90" w:rsidRPr="00E82D46" w:rsidRDefault="00F17297">
      <w:pPr>
        <w:jc w:val="both"/>
      </w:pPr>
      <w:r w:rsidRPr="00E82D46">
        <w:t> </w:t>
      </w:r>
    </w:p>
    <w:p w14:paraId="168C22B3" w14:textId="41A69DA7" w:rsidR="003E1A90" w:rsidRPr="00E82D46" w:rsidRDefault="00F17297">
      <w:pPr>
        <w:jc w:val="both"/>
      </w:pPr>
      <w:bookmarkStart w:id="32" w:name="chk-paragraph-13-3-2_nodeId-587505459"/>
      <w:bookmarkEnd w:id="31"/>
      <w:r w:rsidRPr="00E82D46">
        <w:t>According to Article</w:t>
      </w:r>
      <w:r w:rsidR="003222D5" w:rsidRPr="00E82D46">
        <w:t> </w:t>
      </w:r>
      <w:r w:rsidRPr="00E82D46">
        <w:t>109(7) EUTMR and Article</w:t>
      </w:r>
      <w:r w:rsidR="003222D5" w:rsidRPr="00E82D46">
        <w:t> </w:t>
      </w:r>
      <w:r w:rsidRPr="00E82D46">
        <w:t>18(1)(c)(i) EUTMIR, the costs to be paid to the</w:t>
      </w:r>
      <w:r w:rsidR="003222D5" w:rsidRPr="00E82D46">
        <w:t xml:space="preserve"> </w:t>
      </w:r>
      <w:r w:rsidRPr="00E82D46">
        <w:t>applicant</w:t>
      </w:r>
      <w:r w:rsidR="003222D5" w:rsidRPr="00E82D46">
        <w:t xml:space="preserve"> </w:t>
      </w:r>
      <w:r w:rsidRPr="00E82D46">
        <w:t>are the costs of representation, which are to be fixed on the basis of the maximum rate set therein. In the present case, the</w:t>
      </w:r>
      <w:r w:rsidR="003222D5" w:rsidRPr="00E82D46">
        <w:t xml:space="preserve"> </w:t>
      </w:r>
      <w:r w:rsidRPr="00E82D46">
        <w:t>applicant</w:t>
      </w:r>
      <w:r w:rsidR="003222D5" w:rsidRPr="00E82D46">
        <w:t xml:space="preserve"> </w:t>
      </w:r>
      <w:r w:rsidRPr="00E82D46">
        <w:t>did not appoint a professional representative within the meaning of Article 120 EUTMR and therefore did not incur representation costs.</w:t>
      </w:r>
    </w:p>
    <w:p w14:paraId="168C22B4" w14:textId="4675A210" w:rsidR="003E1A90" w:rsidRPr="00E82D46" w:rsidRDefault="00F17297">
      <w:pPr>
        <w:jc w:val="both"/>
      </w:pPr>
      <w:r w:rsidRPr="00E82D46">
        <w:t> </w:t>
      </w:r>
    </w:p>
    <w:p w14:paraId="168C22B5" w14:textId="77777777" w:rsidR="003E1A90" w:rsidRPr="00E82D46" w:rsidRDefault="00F17297">
      <w:pPr>
        <w:jc w:val="center"/>
      </w:pPr>
      <w:bookmarkStart w:id="33" w:name="rId8"/>
      <w:bookmarkStart w:id="34" w:name="chk-paragraph-14_nodeId--1301144368"/>
      <w:bookmarkEnd w:id="32"/>
      <w:r w:rsidRPr="00E82D46">
        <w:rPr>
          <w:noProof/>
        </w:rPr>
        <w:drawing>
          <wp:inline distT="0" distB="0" distL="0" distR="0" wp14:anchorId="168C22DA" wp14:editId="168C22DB">
            <wp:extent cx="619125" cy="628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9125" cy="628650"/>
                    </a:xfrm>
                    <a:prstGeom prst="rect">
                      <a:avLst/>
                    </a:prstGeom>
                  </pic:spPr>
                </pic:pic>
              </a:graphicData>
            </a:graphic>
          </wp:inline>
        </w:drawing>
      </w:r>
      <w:bookmarkEnd w:id="33"/>
    </w:p>
    <w:p w14:paraId="168C22B6" w14:textId="3E6431CB" w:rsidR="003E1A90" w:rsidRPr="00E82D46" w:rsidRDefault="00F17297">
      <w:pPr>
        <w:jc w:val="both"/>
      </w:pPr>
      <w:r w:rsidRPr="00E82D46">
        <w:t> </w:t>
      </w:r>
    </w:p>
    <w:p w14:paraId="168C22B7" w14:textId="6A8EEF0D" w:rsidR="003E1A90" w:rsidRPr="00E82D46" w:rsidRDefault="00F17297">
      <w:pPr>
        <w:jc w:val="both"/>
      </w:pPr>
      <w:r w:rsidRPr="00E82D46">
        <w:t> </w:t>
      </w:r>
    </w:p>
    <w:p w14:paraId="168C22B8" w14:textId="77777777" w:rsidR="003E1A90" w:rsidRPr="00E82D46" w:rsidRDefault="00F17297">
      <w:pPr>
        <w:jc w:val="center"/>
      </w:pPr>
      <w:r w:rsidRPr="00E82D46">
        <w:rPr>
          <w:b/>
        </w:rPr>
        <w:t>The Opposition Division</w:t>
      </w:r>
    </w:p>
    <w:p w14:paraId="168C22B9" w14:textId="23ED03AF" w:rsidR="003E1A90" w:rsidRPr="00E82D46" w:rsidRDefault="00F17297">
      <w:pPr>
        <w:jc w:val="both"/>
      </w:pPr>
      <w:r w:rsidRPr="00E82D46">
        <w:t> </w:t>
      </w:r>
    </w:p>
    <w:p w14:paraId="168C22BA" w14:textId="300AB1BA" w:rsidR="003E1A90" w:rsidRPr="00E82D46" w:rsidRDefault="00F17297">
      <w:pPr>
        <w:jc w:val="both"/>
      </w:pPr>
      <w:r w:rsidRPr="00E82D46">
        <w:t> </w:t>
      </w:r>
    </w:p>
    <w:tbl>
      <w:tblPr>
        <w:tblW w:w="0" w:type="auto"/>
        <w:tblCellSpacing w:w="0" w:type="auto"/>
        <w:tblLook w:val="04A0" w:firstRow="1" w:lastRow="0" w:firstColumn="1" w:lastColumn="0" w:noHBand="0" w:noVBand="1"/>
      </w:tblPr>
      <w:tblGrid>
        <w:gridCol w:w="3025"/>
        <w:gridCol w:w="2977"/>
        <w:gridCol w:w="3025"/>
      </w:tblGrid>
      <w:tr w:rsidR="00D820B6" w:rsidRPr="00E82D46" w14:paraId="168C22C0" w14:textId="77777777">
        <w:trPr>
          <w:trHeight w:val="30"/>
          <w:tblCellSpacing w:w="0" w:type="auto"/>
        </w:trPr>
        <w:tc>
          <w:tcPr>
            <w:tcW w:w="3779" w:type="dxa"/>
            <w:tcMar>
              <w:top w:w="15" w:type="dxa"/>
              <w:left w:w="15" w:type="dxa"/>
              <w:bottom w:w="15" w:type="dxa"/>
              <w:right w:w="15" w:type="dxa"/>
            </w:tcMar>
            <w:vAlign w:val="center"/>
          </w:tcPr>
          <w:p w14:paraId="168C22BC" w14:textId="2645FEF4" w:rsidR="003E1A90" w:rsidRPr="000E73B0" w:rsidRDefault="00CA5913" w:rsidP="00CA5913">
            <w:pPr>
              <w:ind w:left="15"/>
              <w:jc w:val="center"/>
              <w:rPr>
                <w14:shadow w14:blurRad="50800" w14:dist="38100" w14:dir="2700000" w14:sx="100000" w14:sy="100000" w14:kx="0" w14:ky="0" w14:algn="tl">
                  <w14:srgbClr w14:val="000000">
                    <w14:alpha w14:val="60000"/>
                  </w14:srgbClr>
                </w14:shadow>
              </w:rPr>
            </w:pPr>
            <w:bookmarkStart w:id="35" w:name="docx4j_tbl_0"/>
            <w:r w:rsidRPr="00E82D46">
              <w:t>Rosario GURRIERI</w:t>
            </w:r>
          </w:p>
        </w:tc>
        <w:tc>
          <w:tcPr>
            <w:tcW w:w="3780" w:type="dxa"/>
            <w:tcMar>
              <w:top w:w="15" w:type="dxa"/>
              <w:left w:w="15" w:type="dxa"/>
              <w:bottom w:w="15" w:type="dxa"/>
              <w:right w:w="15" w:type="dxa"/>
            </w:tcMar>
            <w:vAlign w:val="center"/>
          </w:tcPr>
          <w:p w14:paraId="168C22BD" w14:textId="77777777" w:rsidR="003E1A90" w:rsidRPr="000E73B0" w:rsidRDefault="00F17297">
            <w:pPr>
              <w:ind w:left="15"/>
              <w:jc w:val="center"/>
              <w:rPr>
                <w14:shadow w14:blurRad="50800" w14:dist="38100" w14:dir="2700000" w14:sx="100000" w14:sy="100000" w14:kx="0" w14:ky="0" w14:algn="tl">
                  <w14:srgbClr w14:val="000000">
                    <w14:alpha w14:val="60000"/>
                  </w14:srgbClr>
                </w14:shadow>
              </w:rPr>
            </w:pPr>
            <w:r w:rsidRPr="00E82D46">
              <w:t>Valeria ANCHINI</w:t>
            </w:r>
          </w:p>
        </w:tc>
        <w:tc>
          <w:tcPr>
            <w:tcW w:w="3780" w:type="dxa"/>
            <w:tcMar>
              <w:top w:w="15" w:type="dxa"/>
              <w:left w:w="15" w:type="dxa"/>
              <w:bottom w:w="15" w:type="dxa"/>
              <w:right w:w="15" w:type="dxa"/>
            </w:tcMar>
            <w:vAlign w:val="center"/>
          </w:tcPr>
          <w:p w14:paraId="168C22BF" w14:textId="5C5FC6AF" w:rsidR="003E1A90" w:rsidRPr="00E82D46" w:rsidRDefault="00CA5913" w:rsidP="00CA5913">
            <w:pPr>
              <w:ind w:left="15"/>
              <w:jc w:val="center"/>
            </w:pPr>
            <w:r w:rsidRPr="00E82D46">
              <w:t>Fernando AZCONA DELGADO</w:t>
            </w:r>
          </w:p>
        </w:tc>
      </w:tr>
    </w:tbl>
    <w:bookmarkEnd w:id="35"/>
    <w:p w14:paraId="168C22C1" w14:textId="2FAF247C" w:rsidR="003E1A90" w:rsidRPr="00E82D46" w:rsidRDefault="00F17297">
      <w:pPr>
        <w:jc w:val="both"/>
      </w:pPr>
      <w:r w:rsidRPr="00E82D46">
        <w:t> </w:t>
      </w:r>
    </w:p>
    <w:p w14:paraId="168C22C3" w14:textId="35566611" w:rsidR="003E1A90" w:rsidRPr="00E82D46" w:rsidRDefault="00F17297">
      <w:pPr>
        <w:jc w:val="both"/>
      </w:pPr>
      <w:r w:rsidRPr="00E82D46">
        <w:t> </w:t>
      </w:r>
    </w:p>
    <w:p w14:paraId="168C22C4" w14:textId="4CE5F6E4" w:rsidR="003E1A90" w:rsidRPr="00E82D46" w:rsidRDefault="00F17297">
      <w:pPr>
        <w:jc w:val="both"/>
      </w:pPr>
      <w:r w:rsidRPr="00E82D46">
        <w:t>According to Article</w:t>
      </w:r>
      <w:r w:rsidR="00BD45ED" w:rsidRPr="00E82D46">
        <w:t> </w:t>
      </w:r>
      <w:r w:rsidRPr="00E82D46">
        <w:t>67 EUTMR, any party adversely affected by this decision has a right to appeal against this decision. According to Article</w:t>
      </w:r>
      <w:r w:rsidR="00BD45ED" w:rsidRPr="00E82D46">
        <w:t> </w:t>
      </w:r>
      <w:r w:rsidRPr="00E82D46">
        <w:t>68 EUTMR, notice of appeal must be filed in writing at the Office within two months of the date of notification of this decision. It must be filed in the language of the proceedings in which the decision subject to appeal was taken. Furthermore, a written statement of the grounds for appeal must be filed within four months of the same date. The notice of appeal will be deemed to have been filed only when the appeal fee of EUR</w:t>
      </w:r>
      <w:r w:rsidR="00BD45ED" w:rsidRPr="00E82D46">
        <w:t> </w:t>
      </w:r>
      <w:r w:rsidRPr="00E82D46">
        <w:t>720 has been paid.</w:t>
      </w:r>
    </w:p>
    <w:bookmarkEnd w:id="34"/>
    <w:p w14:paraId="76B9F5E9" w14:textId="77777777" w:rsidR="00E82D46" w:rsidRPr="00E82D46" w:rsidRDefault="00E82D46">
      <w:pPr>
        <w:jc w:val="both"/>
      </w:pPr>
    </w:p>
    <w:sectPr w:rsidR="00E82D46" w:rsidRPr="00E82D46">
      <w:headerReference w:type="even" r:id="rId14"/>
      <w:headerReference w:type="default" r:id="rId15"/>
      <w:footerReference w:type="even" r:id="rId16"/>
      <w:footerReference w:type="default" r:id="rId17"/>
      <w:headerReference w:type="first" r:id="rId18"/>
      <w:footerReference w:type="first" r:id="rId19"/>
      <w:pgSz w:w="11907" w:h="16839" w:code="9"/>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C22E4" w14:textId="77777777" w:rsidR="00AC68D7" w:rsidRDefault="00F17297">
      <w:r>
        <w:separator/>
      </w:r>
    </w:p>
  </w:endnote>
  <w:endnote w:type="continuationSeparator" w:id="0">
    <w:p w14:paraId="168C22E6" w14:textId="77777777" w:rsidR="00AC68D7" w:rsidRDefault="00F1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5AC7" w14:textId="77777777" w:rsidR="00E82D46" w:rsidRDefault="00E82D4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555C" w14:textId="77777777" w:rsidR="00E82D46" w:rsidRDefault="00E82D4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8FB77" w14:textId="77777777" w:rsidR="00E82D46" w:rsidRDefault="00E82D4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C22E0" w14:textId="77777777" w:rsidR="00AC68D7" w:rsidRDefault="00F17297">
      <w:r>
        <w:separator/>
      </w:r>
    </w:p>
  </w:footnote>
  <w:footnote w:type="continuationSeparator" w:id="0">
    <w:p w14:paraId="168C22E2" w14:textId="77777777" w:rsidR="00AC68D7" w:rsidRDefault="00F17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9B1B" w14:textId="77777777" w:rsidR="00E82D46" w:rsidRDefault="00E82D4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22DC" w14:textId="77777777" w:rsidR="003E1A90" w:rsidRDefault="00F17297">
    <w:pPr>
      <w:pBdr>
        <w:bottom w:val="single" w:sz="6" w:space="1" w:color="595959"/>
      </w:pBdr>
      <w:tabs>
        <w:tab w:val="right" w:pos="9000"/>
      </w:tabs>
    </w:pPr>
    <w:r>
      <w:t xml:space="preserve">Decision on Opposition No </w:t>
    </w:r>
    <w:r>
      <w:rPr>
        <w:b/>
        <w:bCs/>
      </w:rPr>
      <w:t>B 3 133 780</w:t>
    </w:r>
    <w:r>
      <w:tab/>
      <w:t xml:space="preserve">Page </w:t>
    </w:r>
    <w:r>
      <w:fldChar w:fldCharType="begin"/>
    </w:r>
    <w:r>
      <w:instrText>PAGE</w:instrText>
    </w:r>
    <w:r>
      <w:fldChar w:fldCharType="separate"/>
    </w:r>
    <w:r>
      <w:t>1</w:t>
    </w:r>
    <w:r>
      <w:fldChar w:fldCharType="end"/>
    </w:r>
    <w:r>
      <w:t xml:space="preserve"> of </w:t>
    </w:r>
    <w:r>
      <w:fldChar w:fldCharType="begin"/>
    </w:r>
    <w:r>
      <w:instrText>NUMPAGES</w:instrText>
    </w:r>
    <w:r>
      <w:fldChar w:fldCharType="separate"/>
    </w:r>
    <w:r>
      <w:t>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22DD" w14:textId="77777777" w:rsidR="003E1A90" w:rsidRDefault="00F17297">
    <w:r>
      <w:rPr>
        <w:noProof/>
      </w:rPr>
      <w:drawing>
        <wp:inline distT="0" distB="0" distL="0" distR="0" wp14:anchorId="168C22E0" wp14:editId="168C22E1">
          <wp:extent cx="1587500" cy="432448"/>
          <wp:effectExtent l="0" t="0" r="0" b="0"/>
          <wp:docPr id="12" name="Filename hint" descr="Alternativ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hint"/>
                  <pic:cNvPicPr/>
                </pic:nvPicPr>
                <pic:blipFill>
                  <a:blip r:embed="rId1"/>
                  <a:stretch>
                    <a:fillRect/>
                  </a:stretch>
                </pic:blipFill>
                <pic:spPr>
                  <a:xfrm>
                    <a:off x="0" y="0"/>
                    <a:ext cx="1587500" cy="432448"/>
                  </a:xfrm>
                  <a:prstGeom prst="rect">
                    <a:avLst/>
                  </a:prstGeom>
                </pic:spPr>
              </pic:pic>
            </a:graphicData>
          </a:graphic>
        </wp:inline>
      </w:drawing>
    </w:r>
  </w:p>
  <w:p w14:paraId="168C22DE" w14:textId="77777777" w:rsidR="003E1A90" w:rsidRDefault="00F17297">
    <w:pPr>
      <w:pBdr>
        <w:bottom w:val="single" w:sz="6" w:space="1" w:color="595959"/>
      </w:pBdr>
      <w:jc w:val="right"/>
    </w:pPr>
    <w:r>
      <w:rPr>
        <w:color w:val="595959"/>
        <w:sz w:val="18"/>
      </w:rPr>
      <w:t>OPPOSITION DIVISION</w:t>
    </w:r>
  </w:p>
  <w:p w14:paraId="168C22DF" w14:textId="77777777" w:rsidR="003E1A90" w:rsidRDefault="003E1A90">
    <w:pPr>
      <w:spacing w:before="40" w:after="20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44D5857"/>
    <w:multiLevelType w:val="multilevel"/>
    <w:tmpl w:val="AB32461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B080984"/>
    <w:multiLevelType w:val="multilevel"/>
    <w:tmpl w:val="6B1EDCD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E706046"/>
    <w:multiLevelType w:val="hybridMultilevel"/>
    <w:tmpl w:val="336E8F2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0"/>
    <w:rsid w:val="00016082"/>
    <w:rsid w:val="00031CDD"/>
    <w:rsid w:val="0008200C"/>
    <w:rsid w:val="00082992"/>
    <w:rsid w:val="00087170"/>
    <w:rsid w:val="00091B09"/>
    <w:rsid w:val="000958F3"/>
    <w:rsid w:val="000A38E5"/>
    <w:rsid w:val="000A4624"/>
    <w:rsid w:val="000A534F"/>
    <w:rsid w:val="000B5A77"/>
    <w:rsid w:val="000B64F7"/>
    <w:rsid w:val="000B6A70"/>
    <w:rsid w:val="000C623C"/>
    <w:rsid w:val="000D7D49"/>
    <w:rsid w:val="000E73B0"/>
    <w:rsid w:val="00101073"/>
    <w:rsid w:val="001205D5"/>
    <w:rsid w:val="001208A1"/>
    <w:rsid w:val="00146C68"/>
    <w:rsid w:val="00157C8F"/>
    <w:rsid w:val="00161395"/>
    <w:rsid w:val="00171401"/>
    <w:rsid w:val="001A21C5"/>
    <w:rsid w:val="001B6B97"/>
    <w:rsid w:val="001C0124"/>
    <w:rsid w:val="001C7C63"/>
    <w:rsid w:val="001F73C0"/>
    <w:rsid w:val="002011D0"/>
    <w:rsid w:val="00201FA4"/>
    <w:rsid w:val="0020297B"/>
    <w:rsid w:val="00213B95"/>
    <w:rsid w:val="00215A7B"/>
    <w:rsid w:val="00224584"/>
    <w:rsid w:val="00235A41"/>
    <w:rsid w:val="002412A7"/>
    <w:rsid w:val="002431A1"/>
    <w:rsid w:val="00257232"/>
    <w:rsid w:val="00275892"/>
    <w:rsid w:val="0027686E"/>
    <w:rsid w:val="00277861"/>
    <w:rsid w:val="002806AC"/>
    <w:rsid w:val="002B1231"/>
    <w:rsid w:val="002B3C0C"/>
    <w:rsid w:val="002B578E"/>
    <w:rsid w:val="002B6C5E"/>
    <w:rsid w:val="002E21A2"/>
    <w:rsid w:val="002E34B7"/>
    <w:rsid w:val="002E5270"/>
    <w:rsid w:val="002F1EFB"/>
    <w:rsid w:val="0030588A"/>
    <w:rsid w:val="003156A1"/>
    <w:rsid w:val="00317BC4"/>
    <w:rsid w:val="003222D5"/>
    <w:rsid w:val="0035061B"/>
    <w:rsid w:val="00362741"/>
    <w:rsid w:val="00387AEB"/>
    <w:rsid w:val="003907B9"/>
    <w:rsid w:val="003A1725"/>
    <w:rsid w:val="003B7E3B"/>
    <w:rsid w:val="003C4DB9"/>
    <w:rsid w:val="003C7FCC"/>
    <w:rsid w:val="003D33B3"/>
    <w:rsid w:val="003E1A90"/>
    <w:rsid w:val="003F49ED"/>
    <w:rsid w:val="003F720F"/>
    <w:rsid w:val="003F7742"/>
    <w:rsid w:val="004206EF"/>
    <w:rsid w:val="0042668C"/>
    <w:rsid w:val="004361C9"/>
    <w:rsid w:val="004534BE"/>
    <w:rsid w:val="004536A6"/>
    <w:rsid w:val="004556C8"/>
    <w:rsid w:val="004672B6"/>
    <w:rsid w:val="004826A0"/>
    <w:rsid w:val="004B2789"/>
    <w:rsid w:val="004B3176"/>
    <w:rsid w:val="004B586A"/>
    <w:rsid w:val="004C09B1"/>
    <w:rsid w:val="004C724B"/>
    <w:rsid w:val="004F2E20"/>
    <w:rsid w:val="00513CEF"/>
    <w:rsid w:val="0051664C"/>
    <w:rsid w:val="00521141"/>
    <w:rsid w:val="00524A3F"/>
    <w:rsid w:val="00542DA1"/>
    <w:rsid w:val="00553242"/>
    <w:rsid w:val="00556526"/>
    <w:rsid w:val="00556FEE"/>
    <w:rsid w:val="0056294A"/>
    <w:rsid w:val="00571BC4"/>
    <w:rsid w:val="0058083E"/>
    <w:rsid w:val="00581872"/>
    <w:rsid w:val="00587C08"/>
    <w:rsid w:val="00587C89"/>
    <w:rsid w:val="005966EA"/>
    <w:rsid w:val="005A323D"/>
    <w:rsid w:val="005A3DE9"/>
    <w:rsid w:val="005A61BA"/>
    <w:rsid w:val="005B052C"/>
    <w:rsid w:val="005B0E0C"/>
    <w:rsid w:val="005C2A73"/>
    <w:rsid w:val="005D7F4D"/>
    <w:rsid w:val="005E3A21"/>
    <w:rsid w:val="005E7CD2"/>
    <w:rsid w:val="0060327C"/>
    <w:rsid w:val="00610437"/>
    <w:rsid w:val="00624E2E"/>
    <w:rsid w:val="00633AC6"/>
    <w:rsid w:val="00637ED8"/>
    <w:rsid w:val="006A058B"/>
    <w:rsid w:val="006B2257"/>
    <w:rsid w:val="006B584F"/>
    <w:rsid w:val="006B7311"/>
    <w:rsid w:val="006D4B16"/>
    <w:rsid w:val="006F78FD"/>
    <w:rsid w:val="00736CE7"/>
    <w:rsid w:val="007703CA"/>
    <w:rsid w:val="00772903"/>
    <w:rsid w:val="007824C6"/>
    <w:rsid w:val="00786B4F"/>
    <w:rsid w:val="007A1682"/>
    <w:rsid w:val="007B2E05"/>
    <w:rsid w:val="007B4257"/>
    <w:rsid w:val="007D5F4A"/>
    <w:rsid w:val="007E1CB7"/>
    <w:rsid w:val="007E68E1"/>
    <w:rsid w:val="0080046C"/>
    <w:rsid w:val="00822B67"/>
    <w:rsid w:val="00837CB9"/>
    <w:rsid w:val="008462E1"/>
    <w:rsid w:val="008647F2"/>
    <w:rsid w:val="0087149C"/>
    <w:rsid w:val="00872DE3"/>
    <w:rsid w:val="008874C9"/>
    <w:rsid w:val="00892017"/>
    <w:rsid w:val="008C6D21"/>
    <w:rsid w:val="008C7459"/>
    <w:rsid w:val="008D1306"/>
    <w:rsid w:val="008E4139"/>
    <w:rsid w:val="008F2CB0"/>
    <w:rsid w:val="008F3B84"/>
    <w:rsid w:val="008F767C"/>
    <w:rsid w:val="00907700"/>
    <w:rsid w:val="00922779"/>
    <w:rsid w:val="00924A74"/>
    <w:rsid w:val="00927D11"/>
    <w:rsid w:val="00944D86"/>
    <w:rsid w:val="0097109C"/>
    <w:rsid w:val="009742FC"/>
    <w:rsid w:val="00986629"/>
    <w:rsid w:val="00991C39"/>
    <w:rsid w:val="00993D18"/>
    <w:rsid w:val="009C354E"/>
    <w:rsid w:val="009D14E1"/>
    <w:rsid w:val="009D5CC0"/>
    <w:rsid w:val="009F3AA6"/>
    <w:rsid w:val="009F4D4D"/>
    <w:rsid w:val="00A010DB"/>
    <w:rsid w:val="00A2021C"/>
    <w:rsid w:val="00A36870"/>
    <w:rsid w:val="00A60E07"/>
    <w:rsid w:val="00A612DE"/>
    <w:rsid w:val="00A73002"/>
    <w:rsid w:val="00A737F8"/>
    <w:rsid w:val="00A82E92"/>
    <w:rsid w:val="00AB2A2F"/>
    <w:rsid w:val="00AB2EF9"/>
    <w:rsid w:val="00AC1711"/>
    <w:rsid w:val="00AC68D7"/>
    <w:rsid w:val="00AE2B41"/>
    <w:rsid w:val="00B15A86"/>
    <w:rsid w:val="00B24DFB"/>
    <w:rsid w:val="00B25291"/>
    <w:rsid w:val="00B31CAA"/>
    <w:rsid w:val="00B35208"/>
    <w:rsid w:val="00B57C64"/>
    <w:rsid w:val="00B62561"/>
    <w:rsid w:val="00B62785"/>
    <w:rsid w:val="00B725EC"/>
    <w:rsid w:val="00B72606"/>
    <w:rsid w:val="00B860F8"/>
    <w:rsid w:val="00B90D1C"/>
    <w:rsid w:val="00BB5060"/>
    <w:rsid w:val="00BB7312"/>
    <w:rsid w:val="00BD1F1A"/>
    <w:rsid w:val="00BD2849"/>
    <w:rsid w:val="00BD45ED"/>
    <w:rsid w:val="00BD5719"/>
    <w:rsid w:val="00BF1575"/>
    <w:rsid w:val="00C07291"/>
    <w:rsid w:val="00C3126E"/>
    <w:rsid w:val="00C35016"/>
    <w:rsid w:val="00C37D8E"/>
    <w:rsid w:val="00C520CC"/>
    <w:rsid w:val="00C54CAE"/>
    <w:rsid w:val="00C56E42"/>
    <w:rsid w:val="00C60CCB"/>
    <w:rsid w:val="00C623A7"/>
    <w:rsid w:val="00C663BA"/>
    <w:rsid w:val="00C74EDA"/>
    <w:rsid w:val="00C811AA"/>
    <w:rsid w:val="00C84369"/>
    <w:rsid w:val="00C91729"/>
    <w:rsid w:val="00CA5913"/>
    <w:rsid w:val="00CA6BE5"/>
    <w:rsid w:val="00CB3825"/>
    <w:rsid w:val="00CE341A"/>
    <w:rsid w:val="00CE4AD1"/>
    <w:rsid w:val="00D1597A"/>
    <w:rsid w:val="00D205F2"/>
    <w:rsid w:val="00D219F9"/>
    <w:rsid w:val="00D2233C"/>
    <w:rsid w:val="00D33E93"/>
    <w:rsid w:val="00D47A7E"/>
    <w:rsid w:val="00D5388B"/>
    <w:rsid w:val="00D60D85"/>
    <w:rsid w:val="00D61101"/>
    <w:rsid w:val="00D73E6F"/>
    <w:rsid w:val="00D74A81"/>
    <w:rsid w:val="00D820B6"/>
    <w:rsid w:val="00D96CFB"/>
    <w:rsid w:val="00DA0091"/>
    <w:rsid w:val="00DA6368"/>
    <w:rsid w:val="00DC049B"/>
    <w:rsid w:val="00E11458"/>
    <w:rsid w:val="00E13CF5"/>
    <w:rsid w:val="00E35FF5"/>
    <w:rsid w:val="00E47D6E"/>
    <w:rsid w:val="00E531AE"/>
    <w:rsid w:val="00E557FA"/>
    <w:rsid w:val="00E6024D"/>
    <w:rsid w:val="00E70922"/>
    <w:rsid w:val="00E73D21"/>
    <w:rsid w:val="00E76068"/>
    <w:rsid w:val="00E770FA"/>
    <w:rsid w:val="00E8273B"/>
    <w:rsid w:val="00E82D46"/>
    <w:rsid w:val="00ED125D"/>
    <w:rsid w:val="00ED194D"/>
    <w:rsid w:val="00F03EF7"/>
    <w:rsid w:val="00F17297"/>
    <w:rsid w:val="00F20C7E"/>
    <w:rsid w:val="00F35498"/>
    <w:rsid w:val="00F37142"/>
    <w:rsid w:val="00F56E94"/>
    <w:rsid w:val="00F66AC2"/>
    <w:rsid w:val="00F8241C"/>
    <w:rsid w:val="00F94FBB"/>
    <w:rsid w:val="00FA6413"/>
    <w:rsid w:val="00FB30BF"/>
    <w:rsid w:val="00FC503C"/>
    <w:rsid w:val="00FE34C8"/>
    <w:rsid w:val="00FE5248"/>
    <w:rsid w:val="00FF7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2177"/>
  <w15:docId w15:val="{3BE25FC5-53F2-4D3D-85E7-887799C88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style>
  <w:style w:type="paragraph" w:styleId="Titre1">
    <w:name w:val="heading 1"/>
    <w:basedOn w:val="Normal"/>
    <w:next w:val="Normal"/>
    <w:link w:val="Titre1C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itre2">
    <w:name w:val="heading 2"/>
    <w:basedOn w:val="Normal"/>
    <w:next w:val="Normal"/>
    <w:link w:val="Titre2C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re3">
    <w:name w:val="heading 3"/>
    <w:basedOn w:val="Normal"/>
    <w:next w:val="Normal"/>
    <w:link w:val="Titre3C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itre4">
    <w:name w:val="heading 4"/>
    <w:basedOn w:val="Normal"/>
    <w:next w:val="Normal"/>
    <w:link w:val="Titre4C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41CD9"/>
    <w:pPr>
      <w:tabs>
        <w:tab w:val="center" w:pos="4680"/>
        <w:tab w:val="right" w:pos="9360"/>
      </w:tabs>
    </w:pPr>
  </w:style>
  <w:style w:type="character" w:customStyle="1" w:styleId="En-tteCar">
    <w:name w:val="En-tête Car"/>
    <w:basedOn w:val="Policepardfaut"/>
    <w:link w:val="En-tte"/>
    <w:uiPriority w:val="99"/>
    <w:rsid w:val="00841CD9"/>
  </w:style>
  <w:style w:type="character" w:customStyle="1" w:styleId="Titre1Car">
    <w:name w:val="Titre 1 Car"/>
    <w:basedOn w:val="Policepardfaut"/>
    <w:link w:val="Titre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itre2Car">
    <w:name w:val="Titre 2 Car"/>
    <w:basedOn w:val="Policepardfaut"/>
    <w:link w:val="Titre2"/>
    <w:uiPriority w:val="9"/>
    <w:rsid w:val="00841CD9"/>
    <w:rPr>
      <w:rFonts w:asciiTheme="majorHAnsi" w:eastAsiaTheme="majorEastAsia" w:hAnsiTheme="majorHAnsi" w:cstheme="majorBidi"/>
      <w:b/>
      <w:bCs/>
      <w:color w:val="4472C4" w:themeColor="accent1"/>
      <w:sz w:val="26"/>
      <w:szCs w:val="26"/>
    </w:rPr>
  </w:style>
  <w:style w:type="character" w:customStyle="1" w:styleId="Titre3Car">
    <w:name w:val="Titre 3 Car"/>
    <w:basedOn w:val="Policepardfaut"/>
    <w:link w:val="Titre3"/>
    <w:uiPriority w:val="9"/>
    <w:rsid w:val="00841CD9"/>
    <w:rPr>
      <w:rFonts w:asciiTheme="majorHAnsi" w:eastAsiaTheme="majorEastAsia" w:hAnsiTheme="majorHAnsi" w:cstheme="majorBidi"/>
      <w:b/>
      <w:bCs/>
      <w:color w:val="4472C4" w:themeColor="accent1"/>
    </w:rPr>
  </w:style>
  <w:style w:type="character" w:customStyle="1" w:styleId="Titre4Car">
    <w:name w:val="Titre 4 Car"/>
    <w:basedOn w:val="Policepardfaut"/>
    <w:link w:val="Titre4"/>
    <w:uiPriority w:val="9"/>
    <w:rsid w:val="00841CD9"/>
    <w:rPr>
      <w:rFonts w:asciiTheme="majorHAnsi" w:eastAsiaTheme="majorEastAsia" w:hAnsiTheme="majorHAnsi" w:cstheme="majorBidi"/>
      <w:b/>
      <w:bCs/>
      <w:i/>
      <w:iCs/>
      <w:color w:val="4472C4" w:themeColor="accent1"/>
    </w:rPr>
  </w:style>
  <w:style w:type="paragraph" w:styleId="Retraitnormal">
    <w:name w:val="Normal Indent"/>
    <w:basedOn w:val="Normal"/>
    <w:uiPriority w:val="99"/>
    <w:unhideWhenUsed/>
    <w:rsid w:val="00841CD9"/>
    <w:pPr>
      <w:ind w:left="720"/>
    </w:pPr>
  </w:style>
  <w:style w:type="paragraph" w:styleId="Sous-titre">
    <w:name w:val="Subtitle"/>
    <w:basedOn w:val="Normal"/>
    <w:next w:val="Normal"/>
    <w:link w:val="Sous-titreC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ous-titreCar">
    <w:name w:val="Sous-titre Car"/>
    <w:basedOn w:val="Policepardfaut"/>
    <w:link w:val="Sous-titre"/>
    <w:uiPriority w:val="11"/>
    <w:rsid w:val="00841CD9"/>
    <w:rPr>
      <w:rFonts w:asciiTheme="majorHAnsi" w:eastAsiaTheme="majorEastAsia" w:hAnsiTheme="majorHAnsi" w:cstheme="majorBidi"/>
      <w:i/>
      <w:iCs/>
      <w:color w:val="4472C4" w:themeColor="accent1"/>
      <w:spacing w:val="15"/>
      <w:sz w:val="24"/>
      <w:szCs w:val="24"/>
    </w:rPr>
  </w:style>
  <w:style w:type="paragraph" w:styleId="Titre">
    <w:name w:val="Title"/>
    <w:basedOn w:val="Normal"/>
    <w:next w:val="Normal"/>
    <w:link w:val="TitreC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reCar">
    <w:name w:val="Titre Car"/>
    <w:basedOn w:val="Policepardfaut"/>
    <w:link w:val="Titr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ccentuation">
    <w:name w:val="Emphasis"/>
    <w:basedOn w:val="Policepardfaut"/>
    <w:uiPriority w:val="20"/>
    <w:qFormat/>
    <w:rsid w:val="00D1197D"/>
    <w:rPr>
      <w:i/>
      <w:iCs/>
    </w:rPr>
  </w:style>
  <w:style w:type="character" w:styleId="Lienhypertexte">
    <w:name w:val="Hyperlink"/>
    <w:basedOn w:val="Policepardfaut"/>
    <w:uiPriority w:val="99"/>
    <w:unhideWhenUsed/>
    <w:rPr>
      <w:color w:val="0563C1" w:themeColor="hyperlink"/>
      <w:u w:val="single"/>
    </w:rPr>
  </w:style>
  <w:style w:type="table" w:styleId="Grilledutableau">
    <w:name w:val="Table Grid"/>
    <w:basedOn w:val="TableauNormal"/>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gende">
    <w:name w:val="caption"/>
    <w:basedOn w:val="Normal"/>
    <w:next w:val="Normal"/>
    <w:uiPriority w:val="35"/>
    <w:semiHidden/>
    <w:unhideWhenUsed/>
    <w:qFormat/>
    <w:rsid w:val="007109C0"/>
    <w:rPr>
      <w:b/>
      <w:bCs/>
      <w:color w:val="4472C4" w:themeColor="accent1"/>
      <w:sz w:val="18"/>
      <w:szCs w:val="18"/>
    </w:rPr>
  </w:style>
  <w:style w:type="character" w:styleId="Marquedecommentaire">
    <w:name w:val="annotation reference"/>
    <w:basedOn w:val="Policepardfaut"/>
    <w:uiPriority w:val="99"/>
    <w:semiHidden/>
    <w:unhideWhenUsed/>
    <w:rsid w:val="00E557FA"/>
    <w:rPr>
      <w:sz w:val="16"/>
      <w:szCs w:val="16"/>
    </w:rPr>
  </w:style>
  <w:style w:type="paragraph" w:styleId="Commentaire">
    <w:name w:val="annotation text"/>
    <w:basedOn w:val="Normal"/>
    <w:link w:val="CommentaireCar"/>
    <w:uiPriority w:val="99"/>
    <w:semiHidden/>
    <w:unhideWhenUsed/>
    <w:rsid w:val="00E557FA"/>
    <w:rPr>
      <w:sz w:val="20"/>
    </w:rPr>
  </w:style>
  <w:style w:type="character" w:customStyle="1" w:styleId="CommentaireCar">
    <w:name w:val="Commentaire Car"/>
    <w:basedOn w:val="Policepardfaut"/>
    <w:link w:val="Commentaire"/>
    <w:uiPriority w:val="99"/>
    <w:semiHidden/>
    <w:rsid w:val="00E557FA"/>
    <w:rPr>
      <w:sz w:val="20"/>
    </w:rPr>
  </w:style>
  <w:style w:type="paragraph" w:styleId="Objetducommentaire">
    <w:name w:val="annotation subject"/>
    <w:basedOn w:val="Commentaire"/>
    <w:next w:val="Commentaire"/>
    <w:link w:val="ObjetducommentaireCar"/>
    <w:uiPriority w:val="99"/>
    <w:semiHidden/>
    <w:unhideWhenUsed/>
    <w:rsid w:val="00E557FA"/>
    <w:rPr>
      <w:b/>
      <w:bCs/>
    </w:rPr>
  </w:style>
  <w:style w:type="character" w:customStyle="1" w:styleId="ObjetducommentaireCar">
    <w:name w:val="Objet du commentaire Car"/>
    <w:basedOn w:val="CommentaireCar"/>
    <w:link w:val="Objetducommentaire"/>
    <w:uiPriority w:val="99"/>
    <w:semiHidden/>
    <w:rsid w:val="00E557FA"/>
    <w:rPr>
      <w:b/>
      <w:bCs/>
      <w:sz w:val="20"/>
    </w:rPr>
  </w:style>
  <w:style w:type="paragraph" w:styleId="Textedebulles">
    <w:name w:val="Balloon Text"/>
    <w:basedOn w:val="Normal"/>
    <w:link w:val="TextedebullesCar"/>
    <w:uiPriority w:val="99"/>
    <w:semiHidden/>
    <w:unhideWhenUsed/>
    <w:rsid w:val="00E557FA"/>
    <w:rPr>
      <w:rFonts w:ascii="Segoe UI" w:hAnsi="Segoe UI" w:cs="Segoe UI"/>
      <w:sz w:val="18"/>
      <w:szCs w:val="18"/>
    </w:rPr>
  </w:style>
  <w:style w:type="character" w:customStyle="1" w:styleId="TextedebullesCar">
    <w:name w:val="Texte de bulles Car"/>
    <w:basedOn w:val="Policepardfaut"/>
    <w:link w:val="Textedebulles"/>
    <w:uiPriority w:val="99"/>
    <w:semiHidden/>
    <w:rsid w:val="00E557FA"/>
    <w:rPr>
      <w:rFonts w:ascii="Segoe UI" w:hAnsi="Segoe UI" w:cs="Segoe UI"/>
      <w:sz w:val="18"/>
      <w:szCs w:val="18"/>
    </w:rPr>
  </w:style>
  <w:style w:type="paragraph" w:customStyle="1" w:styleId="ui-droppable">
    <w:name w:val="ui-droppable"/>
    <w:basedOn w:val="Normal"/>
    <w:rsid w:val="0008200C"/>
    <w:pPr>
      <w:spacing w:before="100" w:beforeAutospacing="1" w:after="100" w:afterAutospacing="1"/>
    </w:pPr>
    <w:rPr>
      <w:rFonts w:ascii="Times New Roman" w:eastAsia="Times New Roman" w:hAnsi="Times New Roman" w:cs="Times New Roman"/>
      <w:sz w:val="24"/>
      <w:szCs w:val="24"/>
    </w:rPr>
  </w:style>
  <w:style w:type="character" w:customStyle="1" w:styleId="defaultparagraphfont">
    <w:name w:val="defaultparagraphfont"/>
    <w:basedOn w:val="Policepardfaut"/>
    <w:rsid w:val="0008200C"/>
  </w:style>
  <w:style w:type="character" w:customStyle="1" w:styleId="EditableChar">
    <w:name w:val="Editable Char"/>
    <w:link w:val="Editable"/>
    <w:locked/>
    <w:rsid w:val="00E76068"/>
    <w:rPr>
      <w:rFonts w:eastAsia="Calibri"/>
    </w:rPr>
  </w:style>
  <w:style w:type="paragraph" w:customStyle="1" w:styleId="Editable">
    <w:name w:val="Editable"/>
    <w:basedOn w:val="Normal"/>
    <w:link w:val="EditableChar"/>
    <w:qFormat/>
    <w:rsid w:val="00E76068"/>
    <w:pPr>
      <w:jc w:val="both"/>
    </w:pPr>
    <w:rPr>
      <w:rFonts w:eastAsia="Calibri"/>
    </w:rPr>
  </w:style>
  <w:style w:type="paragraph" w:customStyle="1" w:styleId="Default">
    <w:name w:val="Default"/>
    <w:rsid w:val="0051664C"/>
    <w:pPr>
      <w:autoSpaceDE w:val="0"/>
      <w:autoSpaceDN w:val="0"/>
      <w:adjustRightInd w:val="0"/>
    </w:pPr>
    <w:rPr>
      <w:rFonts w:ascii="Times New Roman" w:hAnsi="Times New Roman" w:cs="Times New Roman"/>
      <w:color w:val="000000"/>
      <w:sz w:val="24"/>
      <w:szCs w:val="24"/>
    </w:rPr>
  </w:style>
  <w:style w:type="paragraph" w:customStyle="1" w:styleId="Decision">
    <w:name w:val="Decision"/>
    <w:basedOn w:val="Normal"/>
    <w:link w:val="DecisionChar"/>
    <w:qFormat/>
    <w:rsid w:val="00B62561"/>
    <w:pPr>
      <w:jc w:val="both"/>
    </w:pPr>
    <w:rPr>
      <w:rFonts w:eastAsiaTheme="minorHAnsi"/>
      <w:szCs w:val="22"/>
      <w:lang w:val="en-IE"/>
    </w:rPr>
  </w:style>
  <w:style w:type="character" w:customStyle="1" w:styleId="DecisionChar">
    <w:name w:val="Decision Char"/>
    <w:basedOn w:val="Policepardfaut"/>
    <w:link w:val="Decision"/>
    <w:rsid w:val="00B62561"/>
    <w:rPr>
      <w:rFonts w:eastAsiaTheme="minorHAnsi"/>
      <w:szCs w:val="22"/>
      <w:lang w:val="en-IE"/>
    </w:rPr>
  </w:style>
  <w:style w:type="paragraph" w:styleId="Pieddepage">
    <w:name w:val="footer"/>
    <w:basedOn w:val="Normal"/>
    <w:link w:val="PieddepageCar"/>
    <w:uiPriority w:val="99"/>
    <w:unhideWhenUsed/>
    <w:rsid w:val="00E82D46"/>
    <w:pPr>
      <w:tabs>
        <w:tab w:val="center" w:pos="4513"/>
        <w:tab w:val="right" w:pos="9026"/>
      </w:tabs>
    </w:pPr>
  </w:style>
  <w:style w:type="character" w:customStyle="1" w:styleId="PieddepageCar">
    <w:name w:val="Pied de page Car"/>
    <w:basedOn w:val="Policepardfaut"/>
    <w:link w:val="Pieddepage"/>
    <w:uiPriority w:val="99"/>
    <w:rsid w:val="00E82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2486">
      <w:bodyDiv w:val="1"/>
      <w:marLeft w:val="0"/>
      <w:marRight w:val="0"/>
      <w:marTop w:val="0"/>
      <w:marBottom w:val="0"/>
      <w:divBdr>
        <w:top w:val="none" w:sz="0" w:space="0" w:color="auto"/>
        <w:left w:val="none" w:sz="0" w:space="0" w:color="auto"/>
        <w:bottom w:val="none" w:sz="0" w:space="0" w:color="auto"/>
        <w:right w:val="none" w:sz="0" w:space="0" w:color="auto"/>
      </w:divBdr>
    </w:div>
    <w:div w:id="849486372">
      <w:bodyDiv w:val="1"/>
      <w:marLeft w:val="0"/>
      <w:marRight w:val="0"/>
      <w:marTop w:val="0"/>
      <w:marBottom w:val="0"/>
      <w:divBdr>
        <w:top w:val="none" w:sz="0" w:space="0" w:color="auto"/>
        <w:left w:val="none" w:sz="0" w:space="0" w:color="auto"/>
        <w:bottom w:val="none" w:sz="0" w:space="0" w:color="auto"/>
        <w:right w:val="none" w:sz="0" w:space="0" w:color="auto"/>
      </w:divBdr>
    </w:div>
    <w:div w:id="1595555469">
      <w:bodyDiv w:val="1"/>
      <w:marLeft w:val="0"/>
      <w:marRight w:val="0"/>
      <w:marTop w:val="0"/>
      <w:marBottom w:val="0"/>
      <w:divBdr>
        <w:top w:val="none" w:sz="0" w:space="0" w:color="auto"/>
        <w:left w:val="none" w:sz="0" w:space="0" w:color="auto"/>
        <w:bottom w:val="none" w:sz="0" w:space="0" w:color="auto"/>
        <w:right w:val="none" w:sz="0" w:space="0" w:color="auto"/>
      </w:divBdr>
    </w:div>
    <w:div w:id="1864050536">
      <w:bodyDiv w:val="1"/>
      <w:marLeft w:val="0"/>
      <w:marRight w:val="0"/>
      <w:marTop w:val="0"/>
      <w:marBottom w:val="0"/>
      <w:divBdr>
        <w:top w:val="none" w:sz="0" w:space="0" w:color="auto"/>
        <w:left w:val="none" w:sz="0" w:space="0" w:color="auto"/>
        <w:bottom w:val="none" w:sz="0" w:space="0" w:color="auto"/>
        <w:right w:val="none" w:sz="0" w:space="0" w:color="auto"/>
      </w:divBdr>
      <w:divsChild>
        <w:div w:id="721173771">
          <w:marLeft w:val="0"/>
          <w:marRight w:val="0"/>
          <w:marTop w:val="0"/>
          <w:marBottom w:val="0"/>
          <w:divBdr>
            <w:top w:val="none" w:sz="0" w:space="0" w:color="auto"/>
            <w:left w:val="none" w:sz="0" w:space="0" w:color="auto"/>
            <w:bottom w:val="none" w:sz="0" w:space="0" w:color="auto"/>
            <w:right w:val="none" w:sz="0" w:space="0" w:color="auto"/>
          </w:divBdr>
        </w:div>
      </w:divsChild>
    </w:div>
    <w:div w:id="21416098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EUIPO Document" ma:contentTypeID="0x01010034250892A14C403DA3AF8FF048415358" ma:contentTypeVersion="1" ma:contentTypeDescription="" ma:contentTypeScope="" ma:versionID="84a7f6b9a9324c93f7c429fe637c4145">
  <xsd:schema xmlns:xsd="http://www.w3.org/2001/XMLSchema" xmlns:p="http://schemas.microsoft.com/office/2006/metadata/properties" xmlns:ns2="0e656187-b300-4fb0-8bf4-3a50f872073c" targetNamespace="http://schemas.microsoft.com/office/2006/metadata/properties" ma:root="true" ma:fieldsID="d82bb511108d8e269345fc9bd5c1ab5b" ns2:_="">
    <xsd:import namespace="0e656187-b300-4fb0-8bf4-3a50f872073c"/>
    <xsd:element name="properties">
      <xsd:complexType>
        <xsd:sequence>
          <xsd:element name="documentManagement">
            <xsd:complexType>
              <xsd:all>
                <xsd:element ref="ns2:Subject" minOccurs="0"/>
                <xsd:element ref="ns2:Document_x0020_Identification_x0020_Number" minOccurs="0"/>
                <xsd:element ref="ns2:Description" minOccurs="0"/>
              </xsd:all>
            </xsd:complexType>
          </xsd:element>
        </xsd:sequence>
      </xsd:complexType>
    </xsd:element>
  </xsd:schema>
  <xsd:schema xmlns:xsd="http://www.w3.org/2001/XMLSchema" xmlns:dms="http://schemas.microsoft.com/office/2006/documentManagement/types" targetNamespace="0e656187-b300-4fb0-8bf4-3a50f872073c" elementFormDefault="qualified">
    <xsd:import namespace="http://schemas.microsoft.com/office/2006/documentManagement/types"/>
    <xsd:element name="Subject" ma:index="8" nillable="true" ma:displayName="Subject" ma:internalName="Subject">
      <xsd:simpleType>
        <xsd:restriction base="dms:Text">
</xsd:restriction>
      </xsd:simpleType>
    </xsd:element>
    <xsd:element name="Document_x0020_Identification_x0020_Number" ma:readOnly="true" ma:index="9" nillable="true" ma:displayName="Document Identification Number" ma:internalName="Document_x0020_Identification_x0020_Number">
      <xsd:simpleType>
        <xsd:restriction base="dms:Text">
</xsd:restriction>
      </xsd:simpleType>
    </xsd:element>
    <xsd:element name="Description" ma:index="10" nillable="true" ma:displayName="Description" ma:internalName="Description">
      <xsd:simpleType>
        <xsd:restriction base="dms:No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bject xmlns="0e656187-b300-4fb0-8bf4-3a50f872073c" xsi:nil="true"/>
    <Document_x0020_Identification_x0020_Number xmlns="0e656187-b300-4fb0-8bf4-3a50f872073c" xsi:nil="true"/>
    <Description xmlns="0e656187-b300-4fb0-8bf4-3a50f872073c" xsi:nil="true"/>
  </documentManagement>
</p:properties>
</file>

<file path=customXml/itemProps1.xml><?xml version="1.0" encoding="utf-8"?>
<ds:datastoreItem xmlns:ds="http://schemas.openxmlformats.org/officeDocument/2006/customXml" ds:itemID="{18C016A9-DAAE-4EC1-BB3E-A4C6F7223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352012A-90DA-49B1-BC0C-FD843FC49F32}">
  <ds:schemaRefs>
    <ds:schemaRef ds:uri="http://schemas.openxmlformats.org/officeDocument/2006/bibliography"/>
  </ds:schemaRefs>
</ds:datastoreItem>
</file>

<file path=customXml/itemProps3.xml><?xml version="1.0" encoding="utf-8"?>
<ds:datastoreItem xmlns:ds="http://schemas.openxmlformats.org/officeDocument/2006/customXml" ds:itemID="{2BCA3698-CD7D-4ECD-A2A8-0500C7392165}">
  <ds:schemaRefs>
    <ds:schemaRef ds:uri="http://schemas.microsoft.com/sharepoint/v3/contenttype/forms"/>
  </ds:schemaRefs>
</ds:datastoreItem>
</file>

<file path=customXml/itemProps4.xml><?xml version="1.0" encoding="utf-8"?>
<ds:datastoreItem xmlns:ds="http://schemas.openxmlformats.org/officeDocument/2006/customXml" ds:itemID="{784E02B1-BE7E-429D-8FFC-0C699E93796A}">
  <ds:schemaRefs>
    <ds:schemaRef ds:uri="http://purl.org/dc/dcmitype/"/>
    <ds:schemaRef ds:uri="http://purl.org/dc/elements/1.1/"/>
    <ds:schemaRef ds:uri="http://schemas.microsoft.com/office/2006/metadata/properties"/>
    <ds:schemaRef ds:uri="http://purl.org/dc/terms/"/>
    <ds:schemaRef ds:uri="http://schemas.microsoft.com/office/2006/documentManagement/types"/>
    <ds:schemaRef ds:uri="0e656187-b300-4fb0-8bf4-3a50f872073c"/>
    <ds:schemaRef ds:uri="http://schemas.openxmlformats.org/package/2006/metadata/core-properties"/>
    <ds:schemaRef ds:uri="http://www.w3.org/XML/1998/namespa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2983</Words>
  <Characters>16409</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B3133780-EN-NL LOVES VITTORIO.docx</vt:lpstr>
    </vt:vector>
  </TitlesOfParts>
  <Company/>
  <LinksUpToDate>false</LinksUpToDate>
  <CharactersWithSpaces>19354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B3133780-EN-NL LOVES VITTORIO.docx</dc:title>
  <dc:creator>jerome tassi</dc:creator>
  <cp:lastModifiedBy>jerome tassi</cp:lastModifiedBy>
  <cp:revision>2</cp:revision>
  <dcterms:created xsi:type="dcterms:W3CDTF">2022-01-16T20:40:00Z</dcterms:created>
  <dcterms:modified xsi:type="dcterms:W3CDTF">2022-01-16T20:40:00Z</dcterms:modified>
</cp:coreProperties>
</file>