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E0C7B" w14:textId="05B2E3B3" w:rsidR="002A0464" w:rsidRDefault="002A0464" w:rsidP="002A0464">
      <w:pPr>
        <w:pStyle w:val="NormalWeb"/>
      </w:pPr>
      <w:r>
        <w:rPr>
          <w:noProof/>
        </w:rPr>
        <w:drawing>
          <wp:inline distT="0" distB="0" distL="0" distR="0" wp14:anchorId="460F0B37" wp14:editId="64BFC0EA">
            <wp:extent cx="5760720" cy="1440815"/>
            <wp:effectExtent l="0" t="0" r="0" b="6985"/>
            <wp:docPr id="1975655576" name="Image 1" descr="Une image contenant texte, Police, logo,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55576" name="Image 1" descr="Une image contenant texte, Police, logo, Graphique&#10;&#10;Description générée automatique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440815"/>
                    </a:xfrm>
                    <a:prstGeom prst="rect">
                      <a:avLst/>
                    </a:prstGeom>
                    <a:noFill/>
                    <a:ln>
                      <a:noFill/>
                    </a:ln>
                  </pic:spPr>
                </pic:pic>
              </a:graphicData>
            </a:graphic>
          </wp:inline>
        </w:drawing>
      </w:r>
    </w:p>
    <w:p w14:paraId="023F4E2F" w14:textId="77777777" w:rsidR="00DE39B0" w:rsidRDefault="00DE39B0">
      <w:pPr>
        <w:rPr>
          <w:b/>
          <w:bCs/>
        </w:rPr>
      </w:pPr>
    </w:p>
    <w:p w14:paraId="4474289C" w14:textId="7B9123A8" w:rsidR="00177A19" w:rsidRPr="007A27D4" w:rsidRDefault="006C04CE" w:rsidP="007A27D4">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Arial Black" w:hAnsi="Arial Black"/>
          <w:b/>
          <w:bCs/>
        </w:rPr>
      </w:pPr>
      <w:r>
        <w:rPr>
          <w:rFonts w:ascii="Arial Black" w:hAnsi="Arial Black"/>
          <w:b/>
          <w:bCs/>
        </w:rPr>
        <w:t>KASTEL’</w:t>
      </w:r>
      <w:r w:rsidR="00855B62">
        <w:rPr>
          <w:rFonts w:ascii="Arial Black" w:hAnsi="Arial Black"/>
          <w:b/>
          <w:bCs/>
        </w:rPr>
        <w:t>ACTU</w:t>
      </w:r>
      <w:r w:rsidR="00E57E32" w:rsidRPr="007A27D4">
        <w:rPr>
          <w:rFonts w:ascii="Arial Black" w:hAnsi="Arial Black"/>
          <w:b/>
          <w:bCs/>
        </w:rPr>
        <w:t xml:space="preserve"> – IMMOBILIER-CONSTRUCTION-ASSURANCES – </w:t>
      </w:r>
      <w:r w:rsidR="00855B62">
        <w:rPr>
          <w:rFonts w:ascii="Arial Black" w:hAnsi="Arial Black"/>
          <w:b/>
          <w:bCs/>
        </w:rPr>
        <w:t>Jurisprudence</w:t>
      </w:r>
      <w:r w:rsidR="0055330A">
        <w:rPr>
          <w:rFonts w:ascii="Arial Black" w:hAnsi="Arial Black"/>
          <w:b/>
          <w:bCs/>
        </w:rPr>
        <w:t xml:space="preserve"> </w:t>
      </w:r>
      <w:r w:rsidR="001C5E32">
        <w:rPr>
          <w:rFonts w:ascii="Arial Black" w:hAnsi="Arial Black"/>
          <w:b/>
          <w:bCs/>
        </w:rPr>
        <w:t>Février – Mars 2024</w:t>
      </w:r>
    </w:p>
    <w:p w14:paraId="34B91AF7" w14:textId="77777777" w:rsidR="009A7ACA" w:rsidRDefault="009A7ACA" w:rsidP="00E534E2">
      <w:pPr>
        <w:pBdr>
          <w:bottom w:val="single" w:sz="4" w:space="1" w:color="auto"/>
        </w:pBdr>
        <w:rPr>
          <w:rFonts w:ascii="Arial Black" w:hAnsi="Arial Black"/>
        </w:rPr>
      </w:pPr>
    </w:p>
    <w:p w14:paraId="3753EE50" w14:textId="2C39735F" w:rsidR="00E57E32" w:rsidRPr="00E534E2" w:rsidRDefault="009A7ACA" w:rsidP="00E534E2">
      <w:pPr>
        <w:pBdr>
          <w:bottom w:val="single" w:sz="4" w:space="1" w:color="auto"/>
        </w:pBdr>
        <w:rPr>
          <w:rFonts w:ascii="Arial Black" w:hAnsi="Arial Black"/>
        </w:rPr>
      </w:pPr>
      <w:r>
        <w:rPr>
          <w:rFonts w:ascii="Arial Black" w:hAnsi="Arial Black"/>
        </w:rPr>
        <w:t xml:space="preserve">I - </w:t>
      </w:r>
      <w:r w:rsidR="00E534E2" w:rsidRPr="00E534E2">
        <w:rPr>
          <w:rFonts w:ascii="Arial Black" w:hAnsi="Arial Black"/>
        </w:rPr>
        <w:t>CONSTRUCTION</w:t>
      </w:r>
    </w:p>
    <w:p w14:paraId="74EF0ED8" w14:textId="77777777" w:rsidR="00820DD0" w:rsidRPr="006D468B" w:rsidRDefault="00820DD0" w:rsidP="00820DD0">
      <w:pPr>
        <w:pStyle w:val="Sansinterligne"/>
        <w:rPr>
          <w:u w:val="single"/>
        </w:rPr>
      </w:pPr>
    </w:p>
    <w:p w14:paraId="57FF323B" w14:textId="3A0DE253" w:rsidR="00E90DA2" w:rsidRPr="001C5E32" w:rsidRDefault="00813043" w:rsidP="009607D0">
      <w:pPr>
        <w:pStyle w:val="Sansinterligne"/>
        <w:numPr>
          <w:ilvl w:val="0"/>
          <w:numId w:val="20"/>
        </w:numPr>
        <w:jc w:val="both"/>
        <w:rPr>
          <w:b/>
          <w:bCs/>
          <w:sz w:val="24"/>
          <w:szCs w:val="24"/>
          <w:u w:val="single"/>
        </w:rPr>
      </w:pPr>
      <w:r w:rsidRPr="001C5E32">
        <w:rPr>
          <w:b/>
          <w:bCs/>
          <w:sz w:val="24"/>
          <w:szCs w:val="24"/>
          <w:u w:val="single"/>
        </w:rPr>
        <w:t>VEFA : le délai d’action d’un an contre le vendeur ne s’applique pas aux désordres qu’il s’est engagé à réparer</w:t>
      </w:r>
    </w:p>
    <w:p w14:paraId="23DF7CA4" w14:textId="77777777" w:rsidR="00813043" w:rsidRPr="006D468B" w:rsidRDefault="00813043" w:rsidP="00820DD0">
      <w:pPr>
        <w:pStyle w:val="Sansinterligne"/>
        <w:rPr>
          <w:b/>
          <w:bCs/>
        </w:rPr>
      </w:pPr>
    </w:p>
    <w:p w14:paraId="30D12799" w14:textId="31B76C3A" w:rsidR="00813043" w:rsidRDefault="00813043" w:rsidP="00F3446F">
      <w:pPr>
        <w:pStyle w:val="Sansinterligne"/>
        <w:jc w:val="both"/>
        <w:rPr>
          <w:rFonts w:cstheme="minorHAnsi"/>
          <w:sz w:val="24"/>
          <w:szCs w:val="24"/>
          <w:shd w:val="clear" w:color="auto" w:fill="FFFFFF"/>
        </w:rPr>
      </w:pPr>
      <w:r w:rsidRPr="006D468B">
        <w:rPr>
          <w:b/>
          <w:bCs/>
        </w:rPr>
        <w:t>Cass.civ 3</w:t>
      </w:r>
      <w:r w:rsidRPr="006D468B">
        <w:rPr>
          <w:b/>
          <w:bCs/>
          <w:vertAlign w:val="superscript"/>
        </w:rPr>
        <w:t>ème</w:t>
      </w:r>
      <w:r w:rsidRPr="006D468B">
        <w:rPr>
          <w:b/>
          <w:bCs/>
        </w:rPr>
        <w:t>, 1</w:t>
      </w:r>
      <w:r w:rsidRPr="006D468B">
        <w:rPr>
          <w:b/>
          <w:bCs/>
          <w:vertAlign w:val="superscript"/>
        </w:rPr>
        <w:t>er</w:t>
      </w:r>
      <w:r w:rsidRPr="006D468B">
        <w:rPr>
          <w:b/>
          <w:bCs/>
        </w:rPr>
        <w:t xml:space="preserve"> février 2024, n°22-23.716</w:t>
      </w:r>
      <w:r w:rsidR="00F3446F">
        <w:rPr>
          <w:b/>
          <w:bCs/>
        </w:rPr>
        <w:t xml:space="preserve"> : </w:t>
      </w:r>
      <w:r w:rsidR="00F3446F" w:rsidRPr="00F3446F">
        <w:rPr>
          <w:rFonts w:cstheme="minorHAnsi"/>
          <w:sz w:val="24"/>
          <w:szCs w:val="24"/>
          <w:shd w:val="clear" w:color="auto" w:fill="FFFFFF"/>
        </w:rPr>
        <w:t>Le vendeur d'immeuble à construire ne peut être déchargé ni avant la réception ni après l'expiration d'un délai d'un mois après la prise de possession des vices de construction</w:t>
      </w:r>
      <w:r w:rsidR="002F5DDF">
        <w:rPr>
          <w:rFonts w:cstheme="minorHAnsi"/>
          <w:sz w:val="24"/>
          <w:szCs w:val="24"/>
          <w:shd w:val="clear" w:color="auto" w:fill="FFFFFF"/>
        </w:rPr>
        <w:t xml:space="preserve"> (délai de forclusion de l’article 1648 alinéa 2 du Code civil)</w:t>
      </w:r>
      <w:r w:rsidR="00F3446F" w:rsidRPr="00F3446F">
        <w:rPr>
          <w:rFonts w:cstheme="minorHAnsi"/>
          <w:sz w:val="24"/>
          <w:szCs w:val="24"/>
          <w:shd w:val="clear" w:color="auto" w:fill="FFFFFF"/>
        </w:rPr>
        <w:t>; cette action, qui doit être exercée dans le délai d'un an, ne s'applique pas aux désordres apparents que le vendeur s'est engagé à réparer.</w:t>
      </w:r>
    </w:p>
    <w:p w14:paraId="7BC34490" w14:textId="77777777" w:rsidR="00455DC1" w:rsidRDefault="00455DC1" w:rsidP="00F3446F">
      <w:pPr>
        <w:pStyle w:val="Sansinterligne"/>
        <w:jc w:val="both"/>
        <w:rPr>
          <w:rFonts w:cstheme="minorHAnsi"/>
          <w:sz w:val="24"/>
          <w:szCs w:val="24"/>
          <w:shd w:val="clear" w:color="auto" w:fill="FFFFFF"/>
        </w:rPr>
      </w:pPr>
    </w:p>
    <w:p w14:paraId="1C4AF38C" w14:textId="77777777" w:rsidR="00CB6CEF" w:rsidRDefault="00CB6CEF" w:rsidP="00F3446F">
      <w:pPr>
        <w:pStyle w:val="Sansinterligne"/>
        <w:jc w:val="both"/>
        <w:rPr>
          <w:rFonts w:cstheme="minorHAnsi"/>
          <w:sz w:val="24"/>
          <w:szCs w:val="24"/>
          <w:shd w:val="clear" w:color="auto" w:fill="FFFFFF"/>
        </w:rPr>
      </w:pPr>
    </w:p>
    <w:p w14:paraId="6813E698" w14:textId="77777777" w:rsidR="00B67679" w:rsidRPr="00E741F1" w:rsidRDefault="00455DC1" w:rsidP="00455DC1">
      <w:pPr>
        <w:pStyle w:val="Sansinterligne"/>
        <w:numPr>
          <w:ilvl w:val="0"/>
          <w:numId w:val="20"/>
        </w:numPr>
        <w:jc w:val="both"/>
        <w:rPr>
          <w:rFonts w:cstheme="minorHAnsi"/>
          <w:b/>
          <w:bCs/>
          <w:sz w:val="24"/>
          <w:szCs w:val="24"/>
          <w:u w:val="single"/>
          <w:shd w:val="clear" w:color="auto" w:fill="FFFFFF"/>
        </w:rPr>
      </w:pPr>
      <w:r w:rsidRPr="00E741F1">
        <w:rPr>
          <w:rFonts w:cstheme="minorHAnsi"/>
          <w:b/>
          <w:bCs/>
          <w:sz w:val="24"/>
          <w:szCs w:val="24"/>
          <w:u w:val="single"/>
          <w:shd w:val="clear" w:color="auto" w:fill="FFFFFF"/>
        </w:rPr>
        <w:t xml:space="preserve">VEFA : La responsabilité du </w:t>
      </w:r>
      <w:r w:rsidR="003847E0" w:rsidRPr="00E741F1">
        <w:rPr>
          <w:rFonts w:cstheme="minorHAnsi"/>
          <w:b/>
          <w:bCs/>
          <w:sz w:val="24"/>
          <w:szCs w:val="24"/>
          <w:u w:val="single"/>
          <w:shd w:val="clear" w:color="auto" w:fill="FFFFFF"/>
        </w:rPr>
        <w:t xml:space="preserve">vendeur d’immeuble à construire </w:t>
      </w:r>
      <w:r w:rsidR="00B67679" w:rsidRPr="00E741F1">
        <w:rPr>
          <w:rFonts w:cstheme="minorHAnsi"/>
          <w:b/>
          <w:bCs/>
          <w:sz w:val="24"/>
          <w:szCs w:val="24"/>
          <w:u w:val="single"/>
          <w:shd w:val="clear" w:color="auto" w:fill="FFFFFF"/>
        </w:rPr>
        <w:t>et dommages intermédiaires</w:t>
      </w:r>
    </w:p>
    <w:p w14:paraId="455F4C95" w14:textId="77777777" w:rsidR="00B67679" w:rsidRDefault="00B67679" w:rsidP="00B67679">
      <w:pPr>
        <w:pStyle w:val="Sansinterligne"/>
        <w:jc w:val="both"/>
        <w:rPr>
          <w:rFonts w:cstheme="minorHAnsi"/>
          <w:sz w:val="24"/>
          <w:szCs w:val="24"/>
          <w:shd w:val="clear" w:color="auto" w:fill="FFFFFF"/>
        </w:rPr>
      </w:pPr>
    </w:p>
    <w:p w14:paraId="2A0A4341" w14:textId="2DE0C99A" w:rsidR="00455DC1" w:rsidRDefault="00B67679" w:rsidP="00B67679">
      <w:pPr>
        <w:pStyle w:val="Sansinterligne"/>
        <w:jc w:val="both"/>
        <w:rPr>
          <w:rFonts w:cstheme="minorHAnsi"/>
          <w:sz w:val="24"/>
          <w:szCs w:val="24"/>
          <w:shd w:val="clear" w:color="auto" w:fill="FFFFFF"/>
        </w:rPr>
      </w:pPr>
      <w:r w:rsidRPr="00B67679">
        <w:rPr>
          <w:rFonts w:cstheme="minorHAnsi"/>
          <w:b/>
          <w:bCs/>
          <w:sz w:val="24"/>
          <w:szCs w:val="24"/>
          <w:u w:val="single"/>
          <w:shd w:val="clear" w:color="auto" w:fill="FFFFFF"/>
        </w:rPr>
        <w:t>Cass.civ 3</w:t>
      </w:r>
      <w:r w:rsidRPr="00B67679">
        <w:rPr>
          <w:rFonts w:cstheme="minorHAnsi"/>
          <w:b/>
          <w:bCs/>
          <w:sz w:val="24"/>
          <w:szCs w:val="24"/>
          <w:u w:val="single"/>
          <w:shd w:val="clear" w:color="auto" w:fill="FFFFFF"/>
          <w:vertAlign w:val="superscript"/>
        </w:rPr>
        <w:t>ème</w:t>
      </w:r>
      <w:r w:rsidRPr="00B67679">
        <w:rPr>
          <w:rFonts w:cstheme="minorHAnsi"/>
          <w:b/>
          <w:bCs/>
          <w:sz w:val="24"/>
          <w:szCs w:val="24"/>
          <w:u w:val="single"/>
          <w:shd w:val="clear" w:color="auto" w:fill="FFFFFF"/>
        </w:rPr>
        <w:t>, 15 février 2024, n°21-22.457 :</w:t>
      </w:r>
      <w:r>
        <w:rPr>
          <w:rFonts w:cstheme="minorHAnsi"/>
          <w:sz w:val="24"/>
          <w:szCs w:val="24"/>
          <w:shd w:val="clear" w:color="auto" w:fill="FFFFFF"/>
        </w:rPr>
        <w:t xml:space="preserve"> la responsabilité du vendeur d’immeuble à construire </w:t>
      </w:r>
      <w:r w:rsidR="003847E0">
        <w:rPr>
          <w:rFonts w:cstheme="minorHAnsi"/>
          <w:sz w:val="24"/>
          <w:szCs w:val="24"/>
          <w:shd w:val="clear" w:color="auto" w:fill="FFFFFF"/>
        </w:rPr>
        <w:t>ne peut être engagée sur le fondement de la garantie des dommages intermédiaires qu’en cas de faute prouvée</w:t>
      </w:r>
    </w:p>
    <w:p w14:paraId="7EF46F46" w14:textId="77777777" w:rsidR="003847E0" w:rsidRDefault="003847E0" w:rsidP="003847E0">
      <w:pPr>
        <w:pStyle w:val="Sansinterligne"/>
        <w:jc w:val="both"/>
        <w:rPr>
          <w:rFonts w:cstheme="minorHAnsi"/>
          <w:sz w:val="24"/>
          <w:szCs w:val="24"/>
          <w:shd w:val="clear" w:color="auto" w:fill="FFFFFF"/>
        </w:rPr>
      </w:pPr>
    </w:p>
    <w:p w14:paraId="3C6B84A6" w14:textId="7BF2E7CE" w:rsidR="00B67679" w:rsidRPr="00E741F1" w:rsidRDefault="00B67679" w:rsidP="00E741F1">
      <w:pPr>
        <w:pStyle w:val="Sansinterligne"/>
        <w:pBdr>
          <w:bottom w:val="single" w:sz="4" w:space="1" w:color="auto"/>
        </w:pBdr>
        <w:ind w:left="1701"/>
        <w:jc w:val="both"/>
        <w:rPr>
          <w:rFonts w:cstheme="minorHAnsi"/>
          <w:b/>
          <w:bCs/>
          <w:sz w:val="24"/>
          <w:szCs w:val="24"/>
          <w:shd w:val="clear" w:color="auto" w:fill="FFFFFF"/>
        </w:rPr>
      </w:pPr>
      <w:r w:rsidRPr="00E741F1">
        <w:rPr>
          <w:rFonts w:cstheme="minorHAnsi"/>
          <w:b/>
          <w:bCs/>
          <w:sz w:val="24"/>
          <w:szCs w:val="24"/>
          <w:shd w:val="clear" w:color="auto" w:fill="FFFFFF"/>
        </w:rPr>
        <w:t>Voir en ce sens également :</w:t>
      </w:r>
    </w:p>
    <w:p w14:paraId="7AB14684" w14:textId="77983AD0" w:rsidR="00B67679" w:rsidRPr="00E741F1" w:rsidRDefault="00156D78" w:rsidP="003847E0">
      <w:pPr>
        <w:pStyle w:val="Sansinterligne"/>
        <w:ind w:left="1701"/>
        <w:jc w:val="both"/>
        <w:rPr>
          <w:rFonts w:cstheme="minorHAnsi"/>
          <w:b/>
          <w:bCs/>
          <w:sz w:val="24"/>
          <w:szCs w:val="24"/>
          <w:shd w:val="clear" w:color="auto" w:fill="FFFFFF"/>
        </w:rPr>
      </w:pPr>
      <w:r w:rsidRPr="00E741F1">
        <w:rPr>
          <w:rFonts w:cstheme="minorHAnsi"/>
          <w:b/>
          <w:bCs/>
          <w:sz w:val="24"/>
          <w:szCs w:val="24"/>
          <w:shd w:val="clear" w:color="auto" w:fill="FFFFFF"/>
        </w:rPr>
        <w:t>Cass.civ 3</w:t>
      </w:r>
      <w:r w:rsidRPr="00E741F1">
        <w:rPr>
          <w:rFonts w:cstheme="minorHAnsi"/>
          <w:b/>
          <w:bCs/>
          <w:sz w:val="24"/>
          <w:szCs w:val="24"/>
          <w:shd w:val="clear" w:color="auto" w:fill="FFFFFF"/>
          <w:vertAlign w:val="superscript"/>
        </w:rPr>
        <w:t>ème</w:t>
      </w:r>
      <w:r w:rsidRPr="00E741F1">
        <w:rPr>
          <w:rFonts w:cstheme="minorHAnsi"/>
          <w:b/>
          <w:bCs/>
          <w:sz w:val="24"/>
          <w:szCs w:val="24"/>
          <w:shd w:val="clear" w:color="auto" w:fill="FFFFFF"/>
        </w:rPr>
        <w:t>, 6 octobre 2010, n° 09-66.521</w:t>
      </w:r>
    </w:p>
    <w:p w14:paraId="67869B11" w14:textId="489BCF7D" w:rsidR="0010134F" w:rsidRPr="00E741F1" w:rsidRDefault="00E741F1" w:rsidP="003847E0">
      <w:pPr>
        <w:pStyle w:val="Sansinterligne"/>
        <w:ind w:left="1701"/>
        <w:jc w:val="both"/>
        <w:rPr>
          <w:rFonts w:cstheme="minorHAnsi"/>
          <w:sz w:val="24"/>
          <w:szCs w:val="24"/>
          <w:shd w:val="clear" w:color="auto" w:fill="FFFFFF"/>
        </w:rPr>
      </w:pPr>
      <w:r w:rsidRPr="00E741F1">
        <w:rPr>
          <w:rFonts w:cstheme="minorHAnsi"/>
          <w:b/>
          <w:bCs/>
          <w:sz w:val="24"/>
          <w:szCs w:val="24"/>
          <w:shd w:val="clear" w:color="auto" w:fill="FFFFFF"/>
        </w:rPr>
        <w:t>Cass.civ 3</w:t>
      </w:r>
      <w:r w:rsidRPr="00E741F1">
        <w:rPr>
          <w:rFonts w:cstheme="minorHAnsi"/>
          <w:b/>
          <w:bCs/>
          <w:sz w:val="24"/>
          <w:szCs w:val="24"/>
          <w:shd w:val="clear" w:color="auto" w:fill="FFFFFF"/>
          <w:vertAlign w:val="superscript"/>
        </w:rPr>
        <w:t>ème</w:t>
      </w:r>
      <w:r w:rsidRPr="00E741F1">
        <w:rPr>
          <w:rFonts w:cstheme="minorHAnsi"/>
          <w:b/>
          <w:bCs/>
          <w:sz w:val="24"/>
          <w:szCs w:val="24"/>
          <w:shd w:val="clear" w:color="auto" w:fill="FFFFFF"/>
        </w:rPr>
        <w:t xml:space="preserve">, </w:t>
      </w:r>
      <w:r w:rsidR="0010134F" w:rsidRPr="00E741F1">
        <w:rPr>
          <w:rFonts w:cstheme="minorHAnsi"/>
          <w:b/>
          <w:bCs/>
          <w:sz w:val="24"/>
          <w:szCs w:val="24"/>
          <w:shd w:val="clear" w:color="auto" w:fill="FFFFFF"/>
        </w:rPr>
        <w:t>13 février 2013, n° 11-28.376 :</w:t>
      </w:r>
      <w:r w:rsidR="0010134F" w:rsidRPr="00E741F1">
        <w:rPr>
          <w:rFonts w:cstheme="minorHAnsi"/>
          <w:sz w:val="24"/>
          <w:szCs w:val="24"/>
          <w:shd w:val="clear" w:color="auto" w:fill="FFFFFF"/>
        </w:rPr>
        <w:t xml:space="preserve"> le seul manquement du vendeur d’immeuble à construire</w:t>
      </w:r>
      <w:r w:rsidRPr="00E741F1">
        <w:rPr>
          <w:rFonts w:cstheme="minorHAnsi"/>
          <w:sz w:val="24"/>
          <w:szCs w:val="24"/>
          <w:shd w:val="clear" w:color="auto" w:fill="FFFFFF"/>
        </w:rPr>
        <w:t xml:space="preserve"> à son obligation de remettre à l'acquéreur un ouvrage exempt de vices ne suffit pas à caractériser une faute de nature à engager sa responsabilité sur le fondement de la garantie des dommages intermédiaires</w:t>
      </w:r>
    </w:p>
    <w:p w14:paraId="326CB633" w14:textId="77777777" w:rsidR="00146B55" w:rsidRDefault="00146B55" w:rsidP="00F3446F">
      <w:pPr>
        <w:pStyle w:val="Sansinterligne"/>
        <w:jc w:val="both"/>
        <w:rPr>
          <w:rFonts w:cstheme="minorHAnsi"/>
          <w:sz w:val="24"/>
          <w:szCs w:val="24"/>
          <w:shd w:val="clear" w:color="auto" w:fill="FFFFFF"/>
        </w:rPr>
      </w:pPr>
    </w:p>
    <w:p w14:paraId="515536D2" w14:textId="77777777" w:rsidR="008C2E5D" w:rsidRDefault="008C2E5D" w:rsidP="00820DD0">
      <w:pPr>
        <w:pStyle w:val="Sansinterligne"/>
      </w:pPr>
    </w:p>
    <w:p w14:paraId="4D846762" w14:textId="471D7D1A" w:rsidR="00813043" w:rsidRPr="001C5E32" w:rsidRDefault="00E56445" w:rsidP="007517A1">
      <w:pPr>
        <w:pStyle w:val="Sansinterligne"/>
        <w:numPr>
          <w:ilvl w:val="0"/>
          <w:numId w:val="20"/>
        </w:numPr>
        <w:rPr>
          <w:b/>
          <w:bCs/>
          <w:sz w:val="24"/>
          <w:szCs w:val="24"/>
          <w:u w:val="single"/>
        </w:rPr>
      </w:pPr>
      <w:r w:rsidRPr="001C5E32">
        <w:rPr>
          <w:b/>
          <w:bCs/>
          <w:sz w:val="24"/>
          <w:szCs w:val="24"/>
          <w:u w:val="single"/>
        </w:rPr>
        <w:t>Atteinte à la sécurité des personnes : désordre de nature décennale</w:t>
      </w:r>
    </w:p>
    <w:p w14:paraId="6A5DCC6E" w14:textId="77777777" w:rsidR="00E56445" w:rsidRDefault="00E56445" w:rsidP="00820DD0">
      <w:pPr>
        <w:pStyle w:val="Sansinterligne"/>
      </w:pPr>
    </w:p>
    <w:p w14:paraId="0371A985" w14:textId="4DF67193" w:rsidR="007517A1" w:rsidRPr="001C5E32" w:rsidRDefault="00E56445" w:rsidP="001C5E32">
      <w:pPr>
        <w:pStyle w:val="Sansinterligne"/>
        <w:jc w:val="both"/>
        <w:rPr>
          <w:sz w:val="24"/>
          <w:szCs w:val="24"/>
        </w:rPr>
      </w:pPr>
      <w:r w:rsidRPr="001C5E32">
        <w:rPr>
          <w:b/>
          <w:bCs/>
          <w:sz w:val="24"/>
          <w:szCs w:val="24"/>
        </w:rPr>
        <w:t>Cass.civ 3</w:t>
      </w:r>
      <w:r w:rsidRPr="001C5E32">
        <w:rPr>
          <w:b/>
          <w:bCs/>
          <w:sz w:val="24"/>
          <w:szCs w:val="24"/>
          <w:vertAlign w:val="superscript"/>
        </w:rPr>
        <w:t>ème</w:t>
      </w:r>
      <w:r w:rsidRPr="001C5E32">
        <w:rPr>
          <w:b/>
          <w:bCs/>
          <w:sz w:val="24"/>
          <w:szCs w:val="24"/>
        </w:rPr>
        <w:t>, 15 février 2024, n°22-23.179</w:t>
      </w:r>
      <w:r w:rsidR="007354D1" w:rsidRPr="001C5E32">
        <w:rPr>
          <w:b/>
          <w:bCs/>
          <w:sz w:val="24"/>
          <w:szCs w:val="24"/>
        </w:rPr>
        <w:t> :</w:t>
      </w:r>
      <w:r w:rsidR="007354D1" w:rsidRPr="001C5E32">
        <w:rPr>
          <w:sz w:val="24"/>
          <w:szCs w:val="24"/>
        </w:rPr>
        <w:t xml:space="preserve"> </w:t>
      </w:r>
      <w:r w:rsidR="00A27CE7" w:rsidRPr="001C5E32">
        <w:rPr>
          <w:sz w:val="24"/>
          <w:szCs w:val="24"/>
        </w:rPr>
        <w:t>le fait qu’un interrupteur soit installé sur une gaine technique dans le séjour annulant l’effet coupe-feu</w:t>
      </w:r>
      <w:r w:rsidR="007517A1" w:rsidRPr="001C5E32">
        <w:rPr>
          <w:sz w:val="24"/>
          <w:szCs w:val="24"/>
        </w:rPr>
        <w:t xml:space="preserve"> constitue un désordre de nature </w:t>
      </w:r>
      <w:r w:rsidR="007517A1" w:rsidRPr="001C5E32">
        <w:rPr>
          <w:sz w:val="24"/>
          <w:szCs w:val="24"/>
        </w:rPr>
        <w:lastRenderedPageBreak/>
        <w:t>décennale puisqu’il engendre un risque pour la sécurité des personne</w:t>
      </w:r>
      <w:r w:rsidR="00A344CB" w:rsidRPr="001C5E32">
        <w:rPr>
          <w:sz w:val="24"/>
          <w:szCs w:val="24"/>
        </w:rPr>
        <w:t>s</w:t>
      </w:r>
      <w:r w:rsidR="007517A1" w:rsidRPr="001C5E32">
        <w:rPr>
          <w:sz w:val="24"/>
          <w:szCs w:val="24"/>
        </w:rPr>
        <w:t xml:space="preserve"> ce qui rend l’ouvrage impropre à sa destination</w:t>
      </w:r>
    </w:p>
    <w:p w14:paraId="00BB04C5" w14:textId="77777777" w:rsidR="007517A1" w:rsidRPr="001C5E32" w:rsidRDefault="007517A1" w:rsidP="001C5E32">
      <w:pPr>
        <w:pStyle w:val="Sansinterligne"/>
        <w:jc w:val="both"/>
        <w:rPr>
          <w:sz w:val="24"/>
          <w:szCs w:val="24"/>
        </w:rPr>
      </w:pPr>
    </w:p>
    <w:p w14:paraId="3C34890C" w14:textId="318F0C92" w:rsidR="00A27CE7" w:rsidRPr="001C5E32" w:rsidRDefault="007517A1" w:rsidP="001C5E32">
      <w:pPr>
        <w:pStyle w:val="Sansinterligne"/>
        <w:jc w:val="both"/>
        <w:rPr>
          <w:sz w:val="24"/>
          <w:szCs w:val="24"/>
        </w:rPr>
      </w:pPr>
      <w:r w:rsidRPr="001C5E32">
        <w:rPr>
          <w:sz w:val="24"/>
          <w:szCs w:val="24"/>
        </w:rPr>
        <w:t xml:space="preserve">Tous les </w:t>
      </w:r>
      <w:r w:rsidR="00A344CB" w:rsidRPr="001C5E32">
        <w:rPr>
          <w:sz w:val="24"/>
          <w:szCs w:val="24"/>
        </w:rPr>
        <w:t>dommages consécutifs au désordre de nature décennal doivent être réparés en application du principe de réparation intégrale y compris le préjudice de jouissance.</w:t>
      </w:r>
    </w:p>
    <w:p w14:paraId="6365E290" w14:textId="77777777" w:rsidR="00A344CB" w:rsidRDefault="00A344CB" w:rsidP="00820DD0">
      <w:pPr>
        <w:pStyle w:val="Sansinterligne"/>
      </w:pPr>
    </w:p>
    <w:p w14:paraId="071E4C68" w14:textId="77777777" w:rsidR="00CD4D67" w:rsidRDefault="00CD4D67" w:rsidP="00820DD0">
      <w:pPr>
        <w:pStyle w:val="Sansinterligne"/>
      </w:pPr>
    </w:p>
    <w:p w14:paraId="458007F0" w14:textId="28E46660" w:rsidR="00E56445" w:rsidRPr="001C5E32" w:rsidRDefault="00FA1B28" w:rsidP="00A344CB">
      <w:pPr>
        <w:pStyle w:val="Sansinterligne"/>
        <w:numPr>
          <w:ilvl w:val="0"/>
          <w:numId w:val="20"/>
        </w:numPr>
        <w:jc w:val="both"/>
        <w:rPr>
          <w:b/>
          <w:bCs/>
          <w:sz w:val="24"/>
          <w:szCs w:val="24"/>
          <w:u w:val="single"/>
        </w:rPr>
      </w:pPr>
      <w:r>
        <w:rPr>
          <w:b/>
          <w:bCs/>
          <w:sz w:val="24"/>
          <w:szCs w:val="24"/>
          <w:u w:val="single"/>
        </w:rPr>
        <w:t>Obligation de caractériser l’a</w:t>
      </w:r>
      <w:r w:rsidR="00E56445" w:rsidRPr="001C5E32">
        <w:rPr>
          <w:b/>
          <w:bCs/>
          <w:sz w:val="24"/>
          <w:szCs w:val="24"/>
          <w:u w:val="single"/>
        </w:rPr>
        <w:t>cceptation délibérée des risques par le maître d’ouvrage</w:t>
      </w:r>
      <w:r>
        <w:rPr>
          <w:b/>
          <w:bCs/>
          <w:sz w:val="24"/>
          <w:szCs w:val="24"/>
          <w:u w:val="single"/>
        </w:rPr>
        <w:t xml:space="preserve">, </w:t>
      </w:r>
      <w:r w:rsidR="00E56445" w:rsidRPr="001C5E32">
        <w:rPr>
          <w:b/>
          <w:bCs/>
          <w:sz w:val="24"/>
          <w:szCs w:val="24"/>
          <w:u w:val="single"/>
        </w:rPr>
        <w:t>cause exonératoire de responsabilité des constructeurs</w:t>
      </w:r>
    </w:p>
    <w:p w14:paraId="6EC71F34" w14:textId="77777777" w:rsidR="00E56445" w:rsidRPr="001C5E32" w:rsidRDefault="00E56445" w:rsidP="00820DD0">
      <w:pPr>
        <w:pStyle w:val="Sansinterligne"/>
        <w:rPr>
          <w:sz w:val="24"/>
          <w:szCs w:val="24"/>
        </w:rPr>
      </w:pPr>
    </w:p>
    <w:p w14:paraId="211DACF5" w14:textId="1828179B" w:rsidR="00E56445" w:rsidRDefault="00E56445" w:rsidP="006D5FCC">
      <w:pPr>
        <w:pStyle w:val="Sansinterligne"/>
        <w:jc w:val="both"/>
        <w:rPr>
          <w:rFonts w:cstheme="minorHAnsi"/>
          <w:sz w:val="24"/>
          <w:szCs w:val="24"/>
          <w:shd w:val="clear" w:color="auto" w:fill="FFFFFF"/>
        </w:rPr>
      </w:pPr>
      <w:r w:rsidRPr="001C5E32">
        <w:rPr>
          <w:b/>
          <w:bCs/>
          <w:sz w:val="24"/>
          <w:szCs w:val="24"/>
        </w:rPr>
        <w:t>Cass.civ 3</w:t>
      </w:r>
      <w:r w:rsidRPr="001C5E32">
        <w:rPr>
          <w:b/>
          <w:bCs/>
          <w:sz w:val="24"/>
          <w:szCs w:val="24"/>
          <w:vertAlign w:val="superscript"/>
        </w:rPr>
        <w:t>ème</w:t>
      </w:r>
      <w:r w:rsidR="00523067" w:rsidRPr="001C5E32">
        <w:rPr>
          <w:b/>
          <w:bCs/>
          <w:sz w:val="24"/>
          <w:szCs w:val="24"/>
        </w:rPr>
        <w:t>, 15 février 2024, n°22-23.682</w:t>
      </w:r>
      <w:r w:rsidR="006D5FCC">
        <w:rPr>
          <w:b/>
          <w:bCs/>
          <w:sz w:val="24"/>
          <w:szCs w:val="24"/>
        </w:rPr>
        <w:t xml:space="preserve"> : </w:t>
      </w:r>
      <w:r w:rsidR="006D5FCC" w:rsidRPr="006D5FCC">
        <w:rPr>
          <w:rFonts w:cstheme="minorHAnsi"/>
          <w:sz w:val="24"/>
          <w:szCs w:val="24"/>
          <w:shd w:val="clear" w:color="auto" w:fill="FFFFFF"/>
        </w:rPr>
        <w:t>Le fait que les maîtres d’ouvrage n’aient pas suivi les conseils de l’architecte quant à la réalisation d’une étude de sol n’est pas exonératoire de responsabilité. Il aurait fallu que les juges du fond caractérisent l’acceptation délibérée des risques par le maître d’ouvrage.</w:t>
      </w:r>
    </w:p>
    <w:p w14:paraId="4F9D68EB" w14:textId="77777777" w:rsidR="006D5FCC" w:rsidRDefault="006D5FCC" w:rsidP="006D5FCC">
      <w:pPr>
        <w:pStyle w:val="Sansinterligne"/>
        <w:jc w:val="both"/>
        <w:rPr>
          <w:rFonts w:cstheme="minorHAnsi"/>
          <w:sz w:val="24"/>
          <w:szCs w:val="24"/>
          <w:shd w:val="clear" w:color="auto" w:fill="FFFFFF"/>
        </w:rPr>
      </w:pPr>
    </w:p>
    <w:p w14:paraId="6FCE6E82" w14:textId="3EE46256" w:rsidR="006D5FCC" w:rsidRDefault="00CB304A" w:rsidP="006D5FCC">
      <w:pPr>
        <w:pStyle w:val="Sansinterligne"/>
        <w:jc w:val="both"/>
        <w:rPr>
          <w:rFonts w:cstheme="minorHAnsi"/>
          <w:sz w:val="24"/>
          <w:szCs w:val="24"/>
          <w:shd w:val="clear" w:color="auto" w:fill="FFFFFF"/>
        </w:rPr>
      </w:pPr>
      <w:r>
        <w:rPr>
          <w:rFonts w:cstheme="minorHAnsi"/>
          <w:sz w:val="24"/>
          <w:szCs w:val="24"/>
          <w:shd w:val="clear" w:color="auto" w:fill="FFFFFF"/>
        </w:rPr>
        <w:t>Cet arrêt est l’occasion de rappeler plusieurs principes juridiques :</w:t>
      </w:r>
    </w:p>
    <w:p w14:paraId="6242055E" w14:textId="77777777" w:rsidR="00CB304A" w:rsidRDefault="00CB304A" w:rsidP="006D5FCC">
      <w:pPr>
        <w:pStyle w:val="Sansinterligne"/>
        <w:jc w:val="both"/>
        <w:rPr>
          <w:rFonts w:cstheme="minorHAnsi"/>
          <w:sz w:val="24"/>
          <w:szCs w:val="24"/>
          <w:shd w:val="clear" w:color="auto" w:fill="FFFFFF"/>
        </w:rPr>
      </w:pPr>
    </w:p>
    <w:p w14:paraId="1366AB4A" w14:textId="40F895B1" w:rsidR="00CB304A" w:rsidRDefault="00CB304A" w:rsidP="00CB304A">
      <w:pPr>
        <w:pStyle w:val="Sansinterligne"/>
        <w:numPr>
          <w:ilvl w:val="0"/>
          <w:numId w:val="21"/>
        </w:numPr>
        <w:jc w:val="both"/>
        <w:rPr>
          <w:rFonts w:cstheme="minorHAnsi"/>
          <w:sz w:val="24"/>
          <w:szCs w:val="24"/>
        </w:rPr>
      </w:pPr>
      <w:r w:rsidRPr="00C233A9">
        <w:rPr>
          <w:rFonts w:cstheme="minorHAnsi"/>
          <w:b/>
          <w:bCs/>
          <w:sz w:val="24"/>
          <w:szCs w:val="24"/>
        </w:rPr>
        <w:t xml:space="preserve">La responsabilité décennale des constructeurs est une responsabilité </w:t>
      </w:r>
      <w:r w:rsidR="002B7979" w:rsidRPr="00C233A9">
        <w:rPr>
          <w:rFonts w:cstheme="minorHAnsi"/>
          <w:b/>
          <w:bCs/>
          <w:sz w:val="24"/>
          <w:szCs w:val="24"/>
        </w:rPr>
        <w:t>sans faute qui repose sur une présomption de faute des constructeurs</w:t>
      </w:r>
      <w:r w:rsidR="002B7979" w:rsidRPr="00C233A9">
        <w:rPr>
          <w:rFonts w:cstheme="minorHAnsi"/>
          <w:sz w:val="24"/>
          <w:szCs w:val="24"/>
        </w:rPr>
        <w:t xml:space="preserve"> dès lors que le maître d’ouvrage rapporte la preuve d’un dommage de nature décennale (atteinte à la solidité de l’ouvrage ou impropriété à destination)</w:t>
      </w:r>
      <w:r w:rsidR="00C233A9" w:rsidRPr="00C233A9">
        <w:rPr>
          <w:rFonts w:cstheme="minorHAnsi"/>
          <w:sz w:val="24"/>
          <w:szCs w:val="24"/>
        </w:rPr>
        <w:t xml:space="preserve"> qui soit imputable aux travaux réalisés par le constructeur</w:t>
      </w:r>
      <w:r w:rsidR="00C233A9">
        <w:rPr>
          <w:rFonts w:cstheme="minorHAnsi"/>
          <w:sz w:val="24"/>
          <w:szCs w:val="24"/>
        </w:rPr>
        <w:t> ;</w:t>
      </w:r>
    </w:p>
    <w:p w14:paraId="281F5A4B" w14:textId="77777777" w:rsidR="0050224D" w:rsidRDefault="0050224D" w:rsidP="0050224D">
      <w:pPr>
        <w:pStyle w:val="Sansinterligne"/>
        <w:ind w:left="720"/>
        <w:jc w:val="both"/>
        <w:rPr>
          <w:rFonts w:cstheme="minorHAnsi"/>
          <w:sz w:val="24"/>
          <w:szCs w:val="24"/>
        </w:rPr>
      </w:pPr>
    </w:p>
    <w:p w14:paraId="50673864" w14:textId="210223C7" w:rsidR="0050224D" w:rsidRDefault="00C233A9" w:rsidP="0050224D">
      <w:pPr>
        <w:pStyle w:val="Sansinterligne"/>
        <w:numPr>
          <w:ilvl w:val="0"/>
          <w:numId w:val="21"/>
        </w:numPr>
        <w:jc w:val="both"/>
        <w:rPr>
          <w:rFonts w:cstheme="minorHAnsi"/>
          <w:sz w:val="24"/>
          <w:szCs w:val="24"/>
        </w:rPr>
      </w:pPr>
      <w:r w:rsidRPr="00C233A9">
        <w:rPr>
          <w:rFonts w:cstheme="minorHAnsi"/>
          <w:sz w:val="24"/>
          <w:szCs w:val="24"/>
        </w:rPr>
        <w:t>Le constructeur ne peut s’exonérer de sa responsabilité qu’en rapportant la preuve</w:t>
      </w:r>
      <w:r>
        <w:rPr>
          <w:rFonts w:cstheme="minorHAnsi"/>
          <w:b/>
          <w:bCs/>
          <w:sz w:val="24"/>
          <w:szCs w:val="24"/>
        </w:rPr>
        <w:t xml:space="preserve"> </w:t>
      </w:r>
      <w:r w:rsidRPr="00C233A9">
        <w:rPr>
          <w:rFonts w:cstheme="minorHAnsi"/>
          <w:sz w:val="24"/>
          <w:szCs w:val="24"/>
        </w:rPr>
        <w:t>d’une</w:t>
      </w:r>
      <w:r>
        <w:rPr>
          <w:rFonts w:cstheme="minorHAnsi"/>
          <w:b/>
          <w:bCs/>
          <w:sz w:val="24"/>
          <w:szCs w:val="24"/>
        </w:rPr>
        <w:t xml:space="preserve"> cause étrangère </w:t>
      </w:r>
      <w:r w:rsidRPr="00C233A9">
        <w:rPr>
          <w:rFonts w:cstheme="minorHAnsi"/>
          <w:sz w:val="24"/>
          <w:szCs w:val="24"/>
        </w:rPr>
        <w:t>qui peut consister dans l’acceptation délibéré des risques par le maître d’ouvrage</w:t>
      </w:r>
      <w:r w:rsidR="0050224D">
        <w:rPr>
          <w:rFonts w:cstheme="minorHAnsi"/>
          <w:sz w:val="24"/>
          <w:szCs w:val="24"/>
        </w:rPr>
        <w:t> ;</w:t>
      </w:r>
    </w:p>
    <w:p w14:paraId="666611A6" w14:textId="77777777" w:rsidR="0050224D" w:rsidRPr="0050224D" w:rsidRDefault="0050224D" w:rsidP="0050224D">
      <w:pPr>
        <w:pStyle w:val="Sansinterligne"/>
        <w:jc w:val="both"/>
        <w:rPr>
          <w:rFonts w:cstheme="minorHAnsi"/>
          <w:sz w:val="24"/>
          <w:szCs w:val="24"/>
        </w:rPr>
      </w:pPr>
    </w:p>
    <w:p w14:paraId="7A59FB03" w14:textId="1CA8A8DF" w:rsidR="00C233A9" w:rsidRPr="00C233A9" w:rsidRDefault="00C233A9" w:rsidP="00CB304A">
      <w:pPr>
        <w:pStyle w:val="Sansinterligne"/>
        <w:numPr>
          <w:ilvl w:val="0"/>
          <w:numId w:val="21"/>
        </w:numPr>
        <w:jc w:val="both"/>
        <w:rPr>
          <w:rFonts w:cstheme="minorHAnsi"/>
          <w:sz w:val="24"/>
          <w:szCs w:val="24"/>
        </w:rPr>
      </w:pPr>
      <w:r>
        <w:rPr>
          <w:rFonts w:cstheme="minorHAnsi"/>
          <w:b/>
          <w:bCs/>
          <w:sz w:val="24"/>
          <w:szCs w:val="24"/>
        </w:rPr>
        <w:t xml:space="preserve">L’acceptation délibérée des risques par le maître d’ouvrage </w:t>
      </w:r>
      <w:r w:rsidRPr="00C233A9">
        <w:rPr>
          <w:rFonts w:cstheme="minorHAnsi"/>
          <w:sz w:val="24"/>
          <w:szCs w:val="24"/>
        </w:rPr>
        <w:t>est strictement appréciée par les juridiction</w:t>
      </w:r>
      <w:r>
        <w:rPr>
          <w:rFonts w:cstheme="minorHAnsi"/>
          <w:sz w:val="24"/>
          <w:szCs w:val="24"/>
        </w:rPr>
        <w:t>s</w:t>
      </w:r>
      <w:r w:rsidR="00163326">
        <w:rPr>
          <w:rFonts w:cstheme="minorHAnsi"/>
          <w:sz w:val="24"/>
          <w:szCs w:val="24"/>
        </w:rPr>
        <w:t xml:space="preserve"> et doit être caractérisée par le locateur d’ouvrage à défaut de quoi il ne renverse pas la présomption de responsabilité</w:t>
      </w:r>
    </w:p>
    <w:p w14:paraId="2EB5BF25" w14:textId="77777777" w:rsidR="0052752D" w:rsidRDefault="0052752D" w:rsidP="006D5FCC">
      <w:pPr>
        <w:pStyle w:val="Sansinterligne"/>
        <w:jc w:val="both"/>
        <w:rPr>
          <w:rFonts w:cstheme="minorHAnsi"/>
          <w:sz w:val="24"/>
          <w:szCs w:val="24"/>
        </w:rPr>
      </w:pPr>
    </w:p>
    <w:p w14:paraId="0ACD0B18" w14:textId="77777777" w:rsidR="00CB6CEF" w:rsidRPr="006D5FCC" w:rsidRDefault="00CB6CEF" w:rsidP="006D5FCC">
      <w:pPr>
        <w:pStyle w:val="Sansinterligne"/>
        <w:jc w:val="both"/>
        <w:rPr>
          <w:rFonts w:cstheme="minorHAnsi"/>
          <w:sz w:val="24"/>
          <w:szCs w:val="24"/>
        </w:rPr>
      </w:pPr>
    </w:p>
    <w:p w14:paraId="06972E0C" w14:textId="0D759546" w:rsidR="0052752D" w:rsidRPr="00C52E5C" w:rsidRDefault="0052752D" w:rsidP="00C52E5C">
      <w:pPr>
        <w:pStyle w:val="Sansinterligne"/>
        <w:numPr>
          <w:ilvl w:val="0"/>
          <w:numId w:val="20"/>
        </w:numPr>
        <w:rPr>
          <w:b/>
          <w:bCs/>
          <w:sz w:val="24"/>
          <w:szCs w:val="24"/>
          <w:u w:val="single"/>
        </w:rPr>
      </w:pPr>
      <w:r w:rsidRPr="00C52E5C">
        <w:rPr>
          <w:b/>
          <w:bCs/>
          <w:sz w:val="24"/>
          <w:szCs w:val="24"/>
          <w:u w:val="single"/>
        </w:rPr>
        <w:t>Condamnation in solidum</w:t>
      </w:r>
      <w:r w:rsidR="00C52E5C" w:rsidRPr="00C52E5C">
        <w:rPr>
          <w:b/>
          <w:bCs/>
          <w:sz w:val="24"/>
          <w:szCs w:val="24"/>
          <w:u w:val="single"/>
        </w:rPr>
        <w:t xml:space="preserve"> des constructeurs responsables</w:t>
      </w:r>
    </w:p>
    <w:p w14:paraId="1A10BFA8" w14:textId="77777777" w:rsidR="0052752D" w:rsidRPr="00C52E5C" w:rsidRDefault="0052752D" w:rsidP="00820DD0">
      <w:pPr>
        <w:pStyle w:val="Sansinterligne"/>
        <w:rPr>
          <w:sz w:val="24"/>
          <w:szCs w:val="24"/>
        </w:rPr>
      </w:pPr>
    </w:p>
    <w:p w14:paraId="707613EA" w14:textId="6808D1FF" w:rsidR="0052752D" w:rsidRDefault="0052752D" w:rsidP="00DE0C8C">
      <w:pPr>
        <w:pStyle w:val="Sansinterligne"/>
        <w:jc w:val="both"/>
        <w:rPr>
          <w:rFonts w:cstheme="minorHAnsi"/>
          <w:sz w:val="24"/>
          <w:szCs w:val="24"/>
          <w:shd w:val="clear" w:color="auto" w:fill="FFFFFF"/>
        </w:rPr>
      </w:pPr>
      <w:r w:rsidRPr="00DE0C8C">
        <w:rPr>
          <w:b/>
          <w:bCs/>
          <w:sz w:val="24"/>
          <w:szCs w:val="24"/>
          <w:u w:val="single"/>
        </w:rPr>
        <w:t>Cass.civ 3</w:t>
      </w:r>
      <w:r w:rsidRPr="00DE0C8C">
        <w:rPr>
          <w:b/>
          <w:bCs/>
          <w:sz w:val="24"/>
          <w:szCs w:val="24"/>
          <w:u w:val="single"/>
          <w:vertAlign w:val="superscript"/>
        </w:rPr>
        <w:t>ème</w:t>
      </w:r>
      <w:r w:rsidRPr="00DE0C8C">
        <w:rPr>
          <w:b/>
          <w:bCs/>
          <w:sz w:val="24"/>
          <w:szCs w:val="24"/>
          <w:u w:val="single"/>
        </w:rPr>
        <w:t>, 15 février 2024, n°22-18.672</w:t>
      </w:r>
      <w:r w:rsidR="00C52E5C" w:rsidRPr="00DE0C8C">
        <w:rPr>
          <w:b/>
          <w:bCs/>
          <w:sz w:val="24"/>
          <w:szCs w:val="24"/>
          <w:u w:val="single"/>
        </w:rPr>
        <w:t> :</w:t>
      </w:r>
      <w:r w:rsidR="00DE0C8C">
        <w:rPr>
          <w:b/>
          <w:bCs/>
          <w:sz w:val="24"/>
          <w:szCs w:val="24"/>
        </w:rPr>
        <w:t xml:space="preserve"> </w:t>
      </w:r>
      <w:r w:rsidR="00DE0C8C" w:rsidRPr="00DE0C8C">
        <w:rPr>
          <w:rFonts w:cstheme="minorHAnsi"/>
          <w:sz w:val="24"/>
          <w:szCs w:val="24"/>
        </w:rPr>
        <w:t>L</w:t>
      </w:r>
      <w:r w:rsidR="00DE0C8C" w:rsidRPr="00DE0C8C">
        <w:rPr>
          <w:rFonts w:cstheme="minorHAnsi"/>
          <w:sz w:val="24"/>
          <w:szCs w:val="24"/>
          <w:shd w:val="clear" w:color="auto" w:fill="FFFFFF"/>
        </w:rPr>
        <w:t xml:space="preserve">es différents intervenants à l'acte de construire ne peuvent être condamnés </w:t>
      </w:r>
      <w:r w:rsidR="00DE0C8C" w:rsidRPr="00DE0C8C">
        <w:rPr>
          <w:rFonts w:cstheme="minorHAnsi"/>
          <w:i/>
          <w:iCs/>
          <w:sz w:val="24"/>
          <w:szCs w:val="24"/>
          <w:shd w:val="clear" w:color="auto" w:fill="FFFFFF"/>
        </w:rPr>
        <w:t>in solidum</w:t>
      </w:r>
      <w:r w:rsidR="00DE0C8C" w:rsidRPr="00DE0C8C">
        <w:rPr>
          <w:rFonts w:cstheme="minorHAnsi"/>
          <w:sz w:val="24"/>
          <w:szCs w:val="24"/>
          <w:shd w:val="clear" w:color="auto" w:fill="FFFFFF"/>
        </w:rPr>
        <w:t xml:space="preserve"> à réparer le préjudice de maître de l'ouvrage que si, par leurs fautes respectives, ils ont contribué de manière indissociable à la survenance d'un même dommage.</w:t>
      </w:r>
    </w:p>
    <w:p w14:paraId="72602CEC" w14:textId="77777777" w:rsidR="00DE0C8C" w:rsidRDefault="00DE0C8C" w:rsidP="00DE0C8C">
      <w:pPr>
        <w:pStyle w:val="Sansinterligne"/>
        <w:jc w:val="both"/>
        <w:rPr>
          <w:rFonts w:cstheme="minorHAnsi"/>
          <w:sz w:val="24"/>
          <w:szCs w:val="24"/>
          <w:shd w:val="clear" w:color="auto" w:fill="FFFFFF"/>
        </w:rPr>
      </w:pPr>
    </w:p>
    <w:p w14:paraId="334CD0B5" w14:textId="4B917BC5" w:rsidR="001C4DB5" w:rsidRPr="00510198" w:rsidRDefault="00413B26" w:rsidP="00DE0C8C">
      <w:pPr>
        <w:pStyle w:val="Sansinterligne"/>
        <w:jc w:val="both"/>
        <w:rPr>
          <w:rFonts w:ascii="Arial" w:hAnsi="Arial" w:cs="Arial"/>
          <w:color w:val="00385D"/>
          <w:sz w:val="24"/>
          <w:szCs w:val="24"/>
        </w:rPr>
      </w:pPr>
      <w:r>
        <w:rPr>
          <w:rFonts w:cstheme="minorHAnsi"/>
          <w:sz w:val="24"/>
          <w:szCs w:val="24"/>
          <w:shd w:val="clear" w:color="auto" w:fill="FFFFFF"/>
        </w:rPr>
        <w:t>La Cour d’appel de RENNES (arrêt du</w:t>
      </w:r>
      <w:r w:rsidR="00D91346">
        <w:rPr>
          <w:rFonts w:cstheme="minorHAnsi"/>
          <w:sz w:val="24"/>
          <w:szCs w:val="24"/>
          <w:shd w:val="clear" w:color="auto" w:fill="FFFFFF"/>
        </w:rPr>
        <w:t xml:space="preserve"> 5 mai 2022</w:t>
      </w:r>
      <w:r w:rsidR="00772313">
        <w:rPr>
          <w:rFonts w:cstheme="minorHAnsi"/>
          <w:sz w:val="24"/>
          <w:szCs w:val="24"/>
          <w:shd w:val="clear" w:color="auto" w:fill="FFFFFF"/>
        </w:rPr>
        <w:t xml:space="preserve">) avait retenu la condamnation </w:t>
      </w:r>
      <w:r w:rsidR="00772313" w:rsidRPr="00D91346">
        <w:rPr>
          <w:rFonts w:cstheme="minorHAnsi"/>
          <w:i/>
          <w:iCs/>
          <w:sz w:val="24"/>
          <w:szCs w:val="24"/>
          <w:shd w:val="clear" w:color="auto" w:fill="FFFFFF"/>
        </w:rPr>
        <w:t>in solidum</w:t>
      </w:r>
      <w:r w:rsidR="00772313">
        <w:rPr>
          <w:rFonts w:cstheme="minorHAnsi"/>
          <w:sz w:val="24"/>
          <w:szCs w:val="24"/>
          <w:shd w:val="clear" w:color="auto" w:fill="FFFFFF"/>
        </w:rPr>
        <w:t xml:space="preserve"> des constructeurs au motif qu</w:t>
      </w:r>
      <w:r w:rsidR="00D91346">
        <w:rPr>
          <w:rFonts w:cstheme="minorHAnsi"/>
          <w:sz w:val="24"/>
          <w:szCs w:val="24"/>
          <w:shd w:val="clear" w:color="auto" w:fill="FFFFFF"/>
        </w:rPr>
        <w:t>’ « </w:t>
      </w:r>
      <w:r w:rsidR="00772313" w:rsidRPr="00510198">
        <w:rPr>
          <w:i/>
          <w:iCs/>
          <w:sz w:val="24"/>
          <w:szCs w:val="24"/>
        </w:rPr>
        <w:t>Outre les malfaçons imputables aux travaux de gros oeuvre réalisés par M. [W], les deux autres constructeurs dont les travaux sont eux-mêmes affectés de défauts d'exécution importants, ont réalisé les prestations qui leur étaient confiées sur des supports affectés de défauts et manquements aux règles de l'art grossiers qu'ils étaient en mesure de relever. Il en déduit que les constructeurs ont ainsi contribué de manière indissociable à l'intégralité du dommage que subit Mme [G] à l'occasion de la réalisation des travaux et que les conditions d'application de la responsabilité in solidum sont réunies.</w:t>
      </w:r>
      <w:r w:rsidR="001C4DB5" w:rsidRPr="00510198">
        <w:rPr>
          <w:i/>
          <w:iCs/>
          <w:sz w:val="24"/>
          <w:szCs w:val="24"/>
        </w:rPr>
        <w:t> »</w:t>
      </w:r>
      <w:r w:rsidR="00772313" w:rsidRPr="00510198">
        <w:rPr>
          <w:rFonts w:ascii="Arial" w:hAnsi="Arial" w:cs="Arial"/>
          <w:color w:val="00385D"/>
          <w:sz w:val="24"/>
          <w:szCs w:val="24"/>
        </w:rPr>
        <w:br/>
      </w:r>
    </w:p>
    <w:p w14:paraId="2CB423AA" w14:textId="77777777" w:rsidR="00510198" w:rsidRPr="00510198" w:rsidRDefault="001C4DB5" w:rsidP="00510198">
      <w:pPr>
        <w:jc w:val="both"/>
        <w:rPr>
          <w:i/>
          <w:iCs/>
          <w:sz w:val="24"/>
          <w:szCs w:val="24"/>
          <w:shd w:val="clear" w:color="auto" w:fill="FFFFFF"/>
        </w:rPr>
      </w:pPr>
      <w:r w:rsidRPr="00510198">
        <w:rPr>
          <w:sz w:val="24"/>
          <w:szCs w:val="24"/>
        </w:rPr>
        <w:lastRenderedPageBreak/>
        <w:t xml:space="preserve">La Cour de cassation casse l’arrêt considérant qu’il ne pouvait pas y avoir de </w:t>
      </w:r>
      <w:r w:rsidRPr="00D91346">
        <w:rPr>
          <w:i/>
          <w:iCs/>
          <w:sz w:val="24"/>
          <w:szCs w:val="24"/>
        </w:rPr>
        <w:t>condamnation in solidum</w:t>
      </w:r>
      <w:r w:rsidRPr="00510198">
        <w:rPr>
          <w:sz w:val="24"/>
          <w:szCs w:val="24"/>
        </w:rPr>
        <w:t xml:space="preserve"> </w:t>
      </w:r>
      <w:r w:rsidR="005E6280" w:rsidRPr="00510198">
        <w:rPr>
          <w:sz w:val="24"/>
          <w:szCs w:val="24"/>
        </w:rPr>
        <w:t xml:space="preserve">des constructeurs dans la mesure où la CA de RENNES avait retenu </w:t>
      </w:r>
      <w:r w:rsidR="005E6280" w:rsidRPr="00510198">
        <w:rPr>
          <w:i/>
          <w:iCs/>
          <w:sz w:val="24"/>
          <w:szCs w:val="24"/>
        </w:rPr>
        <w:t>« </w:t>
      </w:r>
      <w:r w:rsidR="00772313" w:rsidRPr="00510198">
        <w:rPr>
          <w:i/>
          <w:iCs/>
          <w:sz w:val="24"/>
          <w:szCs w:val="24"/>
          <w:shd w:val="clear" w:color="auto" w:fill="FFFFFF"/>
        </w:rPr>
        <w:t>que les fautes de M. [W] justifiaient seules les déconstructions importantes d'éléments de structure de la maison, ce dont il résultait que celles des autres constructeurs n'avaient pas contribué de manière indissociable à la survenance de l'entier dommage</w:t>
      </w:r>
      <w:r w:rsidR="00510198" w:rsidRPr="00510198">
        <w:rPr>
          <w:i/>
          <w:iCs/>
          <w:sz w:val="24"/>
          <w:szCs w:val="24"/>
          <w:shd w:val="clear" w:color="auto" w:fill="FFFFFF"/>
        </w:rPr>
        <w:t> »</w:t>
      </w:r>
    </w:p>
    <w:p w14:paraId="1379BC1A" w14:textId="77777777" w:rsidR="00CD4D67" w:rsidRDefault="00CD4D67" w:rsidP="00820DD0">
      <w:pPr>
        <w:pStyle w:val="Sansinterligne"/>
      </w:pPr>
    </w:p>
    <w:p w14:paraId="58050DEE" w14:textId="7DECC163" w:rsidR="00CD4D67" w:rsidRPr="00C07791" w:rsidRDefault="00CD4D67" w:rsidP="00C07791">
      <w:pPr>
        <w:pStyle w:val="Sansinterligne"/>
        <w:numPr>
          <w:ilvl w:val="0"/>
          <w:numId w:val="23"/>
        </w:numPr>
        <w:rPr>
          <w:b/>
          <w:bCs/>
          <w:sz w:val="24"/>
          <w:szCs w:val="24"/>
          <w:u w:val="single"/>
        </w:rPr>
      </w:pPr>
      <w:r w:rsidRPr="00C07791">
        <w:rPr>
          <w:b/>
          <w:bCs/>
          <w:sz w:val="24"/>
          <w:szCs w:val="24"/>
          <w:u w:val="single"/>
        </w:rPr>
        <w:t>Etendue de l’obligation de réparation du constructeur</w:t>
      </w:r>
    </w:p>
    <w:p w14:paraId="3EAAC67D" w14:textId="77777777" w:rsidR="00CD4D67" w:rsidRDefault="00CD4D67" w:rsidP="00820DD0">
      <w:pPr>
        <w:pStyle w:val="Sansinterligne"/>
      </w:pPr>
    </w:p>
    <w:p w14:paraId="2B9ABB60" w14:textId="4F5E4960" w:rsidR="00640ADF" w:rsidRDefault="00CD4D67" w:rsidP="00640ADF">
      <w:pPr>
        <w:pStyle w:val="Sansinterligne"/>
        <w:jc w:val="both"/>
        <w:rPr>
          <w:rFonts w:cstheme="minorHAnsi"/>
          <w:sz w:val="24"/>
          <w:szCs w:val="24"/>
          <w:shd w:val="clear" w:color="auto" w:fill="FFFFFF"/>
        </w:rPr>
      </w:pPr>
      <w:r w:rsidRPr="00C07791">
        <w:rPr>
          <w:b/>
          <w:bCs/>
          <w:sz w:val="24"/>
          <w:szCs w:val="24"/>
          <w:u w:val="single"/>
        </w:rPr>
        <w:t>Cass.civ 3</w:t>
      </w:r>
      <w:r w:rsidRPr="00C07791">
        <w:rPr>
          <w:b/>
          <w:bCs/>
          <w:sz w:val="24"/>
          <w:szCs w:val="24"/>
          <w:u w:val="single"/>
          <w:vertAlign w:val="superscript"/>
        </w:rPr>
        <w:t>ème</w:t>
      </w:r>
      <w:r w:rsidRPr="00C07791">
        <w:rPr>
          <w:b/>
          <w:bCs/>
          <w:sz w:val="24"/>
          <w:szCs w:val="24"/>
          <w:u w:val="single"/>
        </w:rPr>
        <w:t>, 15 février 2024, n°</w:t>
      </w:r>
      <w:r w:rsidR="00B45E3D" w:rsidRPr="00C07791">
        <w:rPr>
          <w:b/>
          <w:bCs/>
          <w:sz w:val="24"/>
          <w:szCs w:val="24"/>
          <w:u w:val="single"/>
        </w:rPr>
        <w:t>22-23.179</w:t>
      </w:r>
      <w:r w:rsidR="00C07791">
        <w:rPr>
          <w:b/>
          <w:bCs/>
          <w:sz w:val="24"/>
          <w:szCs w:val="24"/>
          <w:u w:val="single"/>
        </w:rPr>
        <w:t> :</w:t>
      </w:r>
      <w:r w:rsidR="00C07791">
        <w:rPr>
          <w:sz w:val="24"/>
          <w:szCs w:val="24"/>
        </w:rPr>
        <w:t xml:space="preserve"> </w:t>
      </w:r>
      <w:r w:rsidR="009729F3" w:rsidRPr="00640ADF">
        <w:rPr>
          <w:rFonts w:cstheme="minorHAnsi"/>
          <w:sz w:val="24"/>
          <w:szCs w:val="24"/>
          <w:shd w:val="clear" w:color="auto" w:fill="FFFFFF"/>
        </w:rPr>
        <w:t>tous les dommages, matériels et immatériels, consécutifs aux désordres de nature décennal affectant l'ouvrage</w:t>
      </w:r>
      <w:r w:rsidR="006426DC">
        <w:rPr>
          <w:rFonts w:cstheme="minorHAnsi"/>
          <w:sz w:val="24"/>
          <w:szCs w:val="24"/>
          <w:shd w:val="clear" w:color="auto" w:fill="FFFFFF"/>
        </w:rPr>
        <w:t>,</w:t>
      </w:r>
      <w:r w:rsidR="009729F3" w:rsidRPr="00640ADF">
        <w:rPr>
          <w:rFonts w:cstheme="minorHAnsi"/>
          <w:sz w:val="24"/>
          <w:szCs w:val="24"/>
          <w:shd w:val="clear" w:color="auto" w:fill="FFFFFF"/>
        </w:rPr>
        <w:t xml:space="preserve"> doivent être réparés par le constructeur</w:t>
      </w:r>
      <w:r w:rsidR="00640ADF" w:rsidRPr="00640ADF">
        <w:rPr>
          <w:rFonts w:cstheme="minorHAnsi"/>
          <w:sz w:val="24"/>
          <w:szCs w:val="24"/>
          <w:shd w:val="clear" w:color="auto" w:fill="FFFFFF"/>
        </w:rPr>
        <w:t xml:space="preserve"> en application du principe du droit à réparation intégrale.</w:t>
      </w:r>
    </w:p>
    <w:p w14:paraId="12242D9B" w14:textId="77777777" w:rsidR="000D4FF7" w:rsidRDefault="000D4FF7" w:rsidP="00640ADF">
      <w:pPr>
        <w:pStyle w:val="Sansinterligne"/>
        <w:jc w:val="both"/>
        <w:rPr>
          <w:rFonts w:cstheme="minorHAnsi"/>
          <w:sz w:val="24"/>
          <w:szCs w:val="24"/>
          <w:shd w:val="clear" w:color="auto" w:fill="FFFFFF"/>
        </w:rPr>
      </w:pPr>
    </w:p>
    <w:p w14:paraId="560E92C6" w14:textId="16F9A5FE" w:rsidR="000D4FF7" w:rsidRPr="00763AC3" w:rsidRDefault="000D4FF7" w:rsidP="00763AC3">
      <w:pPr>
        <w:pStyle w:val="Sansinterligne"/>
        <w:pBdr>
          <w:bottom w:val="single" w:sz="4" w:space="1" w:color="auto"/>
        </w:pBdr>
        <w:ind w:left="1701"/>
        <w:jc w:val="both"/>
        <w:rPr>
          <w:rFonts w:cstheme="minorHAnsi"/>
          <w:b/>
          <w:bCs/>
          <w:sz w:val="24"/>
          <w:szCs w:val="24"/>
          <w:shd w:val="clear" w:color="auto" w:fill="FFFFFF"/>
        </w:rPr>
      </w:pPr>
      <w:r w:rsidRPr="00763AC3">
        <w:rPr>
          <w:rFonts w:cstheme="minorHAnsi"/>
          <w:b/>
          <w:bCs/>
          <w:sz w:val="24"/>
          <w:szCs w:val="24"/>
          <w:shd w:val="clear" w:color="auto" w:fill="FFFFFF"/>
        </w:rPr>
        <w:t>Voir en ce sens :</w:t>
      </w:r>
    </w:p>
    <w:p w14:paraId="3C0A6E5C" w14:textId="77777777" w:rsidR="00763AC3" w:rsidRPr="00763AC3" w:rsidRDefault="00763AC3" w:rsidP="00763AC3">
      <w:pPr>
        <w:spacing w:after="0"/>
        <w:ind w:left="1701"/>
        <w:jc w:val="both"/>
        <w:rPr>
          <w:rFonts w:eastAsia="Kalinga" w:cstheme="minorHAnsi"/>
          <w:sz w:val="24"/>
          <w:szCs w:val="24"/>
        </w:rPr>
      </w:pPr>
      <w:r w:rsidRPr="00763AC3">
        <w:rPr>
          <w:rFonts w:eastAsia="Kalinga" w:cstheme="minorHAnsi"/>
          <w:b/>
          <w:bCs/>
          <w:sz w:val="24"/>
          <w:szCs w:val="24"/>
        </w:rPr>
        <w:t>Cass.civ 3</w:t>
      </w:r>
      <w:r w:rsidRPr="00763AC3">
        <w:rPr>
          <w:rFonts w:eastAsia="Kalinga" w:cstheme="minorHAnsi"/>
          <w:b/>
          <w:bCs/>
          <w:sz w:val="24"/>
          <w:szCs w:val="24"/>
          <w:vertAlign w:val="superscript"/>
        </w:rPr>
        <w:t>ème</w:t>
      </w:r>
      <w:r w:rsidRPr="00763AC3">
        <w:rPr>
          <w:rFonts w:eastAsia="Kalinga" w:cstheme="minorHAnsi"/>
          <w:b/>
          <w:bCs/>
          <w:sz w:val="24"/>
          <w:szCs w:val="24"/>
        </w:rPr>
        <w:t xml:space="preserve"> du 7 septembre 2022, n°21-16.746 :</w:t>
      </w:r>
      <w:r w:rsidRPr="00763AC3">
        <w:rPr>
          <w:rFonts w:eastAsia="Kalinga" w:cstheme="minorHAnsi"/>
          <w:sz w:val="24"/>
          <w:szCs w:val="24"/>
        </w:rPr>
        <w:t xml:space="preserve"> un acquéreur auquel a été transmise l’action en garantie décennale est en droit d’obtenir la réparation intégrale du préjudice causé par les dommages de nature décennale quel que soit le prix de cession.</w:t>
      </w:r>
    </w:p>
    <w:p w14:paraId="2229E387" w14:textId="77777777" w:rsidR="00763AC3" w:rsidRDefault="00763AC3" w:rsidP="00640ADF">
      <w:pPr>
        <w:pStyle w:val="Sansinterligne"/>
        <w:jc w:val="both"/>
        <w:rPr>
          <w:rFonts w:cstheme="minorHAnsi"/>
          <w:sz w:val="24"/>
          <w:szCs w:val="24"/>
          <w:shd w:val="clear" w:color="auto" w:fill="FFFFFF"/>
        </w:rPr>
      </w:pPr>
    </w:p>
    <w:p w14:paraId="27D105D6" w14:textId="111922B9" w:rsidR="00E57FA8" w:rsidRPr="0092466A" w:rsidRDefault="000D4FF7" w:rsidP="00BA66C4">
      <w:pPr>
        <w:spacing w:after="0"/>
        <w:ind w:left="1701"/>
        <w:jc w:val="both"/>
        <w:rPr>
          <w:rFonts w:eastAsia="Kalinga" w:cstheme="minorHAnsi"/>
          <w:sz w:val="24"/>
          <w:szCs w:val="24"/>
        </w:rPr>
      </w:pPr>
      <w:r w:rsidRPr="0092466A">
        <w:rPr>
          <w:rFonts w:cstheme="minorHAnsi"/>
          <w:b/>
          <w:bCs/>
          <w:sz w:val="24"/>
          <w:szCs w:val="24"/>
          <w:u w:val="single"/>
        </w:rPr>
        <w:t>C</w:t>
      </w:r>
      <w:r w:rsidR="00B45E3D" w:rsidRPr="0092466A">
        <w:rPr>
          <w:rFonts w:cstheme="minorHAnsi"/>
          <w:b/>
          <w:bCs/>
          <w:sz w:val="24"/>
          <w:szCs w:val="24"/>
          <w:u w:val="single"/>
        </w:rPr>
        <w:t>ass.civ 3</w:t>
      </w:r>
      <w:r w:rsidR="00B45E3D" w:rsidRPr="0092466A">
        <w:rPr>
          <w:rFonts w:cstheme="minorHAnsi"/>
          <w:b/>
          <w:bCs/>
          <w:sz w:val="24"/>
          <w:szCs w:val="24"/>
          <w:u w:val="single"/>
          <w:vertAlign w:val="superscript"/>
        </w:rPr>
        <w:t>ème</w:t>
      </w:r>
      <w:r w:rsidR="00B45E3D" w:rsidRPr="0092466A">
        <w:rPr>
          <w:rFonts w:cstheme="minorHAnsi"/>
          <w:b/>
          <w:bCs/>
          <w:sz w:val="24"/>
          <w:szCs w:val="24"/>
          <w:u w:val="single"/>
        </w:rPr>
        <w:t>, 13 juillet 2022, n°21-13.567</w:t>
      </w:r>
      <w:r w:rsidR="00763AC3" w:rsidRPr="0092466A">
        <w:rPr>
          <w:rFonts w:cstheme="minorHAnsi"/>
          <w:sz w:val="24"/>
          <w:szCs w:val="24"/>
          <w:u w:val="single"/>
        </w:rPr>
        <w:t> :</w:t>
      </w:r>
      <w:r w:rsidR="00E57FA8" w:rsidRPr="0092466A">
        <w:rPr>
          <w:rFonts w:eastAsia="Kalinga" w:cstheme="minorHAnsi"/>
          <w:sz w:val="24"/>
          <w:szCs w:val="24"/>
        </w:rPr>
        <w:t xml:space="preserve"> </w:t>
      </w:r>
      <w:r w:rsidR="008609F1" w:rsidRPr="0092466A">
        <w:rPr>
          <w:rFonts w:eastAsia="Kalinga" w:cstheme="minorHAnsi"/>
          <w:sz w:val="24"/>
          <w:szCs w:val="24"/>
        </w:rPr>
        <w:t>L</w:t>
      </w:r>
      <w:r w:rsidR="00E57FA8" w:rsidRPr="0092466A">
        <w:rPr>
          <w:rFonts w:eastAsia="Kalinga" w:cstheme="minorHAnsi"/>
          <w:sz w:val="24"/>
          <w:szCs w:val="24"/>
        </w:rPr>
        <w:t>e préjudice économique de jouissance consécutif au dommage décennal doit être réparé sur le fondement décennal</w:t>
      </w:r>
    </w:p>
    <w:p w14:paraId="72E76032" w14:textId="77777777" w:rsidR="000D4FF7" w:rsidRDefault="000D4FF7" w:rsidP="00820DD0">
      <w:pPr>
        <w:pStyle w:val="Sansinterligne"/>
      </w:pPr>
    </w:p>
    <w:p w14:paraId="3E3837E5" w14:textId="2C0F84D8" w:rsidR="000C3800" w:rsidRPr="000C3800" w:rsidRDefault="000C3800" w:rsidP="000C3800">
      <w:pPr>
        <w:spacing w:after="0"/>
        <w:jc w:val="both"/>
        <w:rPr>
          <w:rFonts w:eastAsia="Kalinga" w:cstheme="minorHAnsi"/>
          <w:sz w:val="24"/>
          <w:szCs w:val="24"/>
        </w:rPr>
      </w:pPr>
      <w:r w:rsidRPr="000C3800">
        <w:rPr>
          <w:sz w:val="24"/>
          <w:szCs w:val="24"/>
        </w:rPr>
        <w:t>Attention toutefois l</w:t>
      </w:r>
      <w:r w:rsidRPr="000C3800">
        <w:rPr>
          <w:rFonts w:eastAsia="Kalinga" w:cstheme="minorHAnsi"/>
          <w:sz w:val="24"/>
          <w:szCs w:val="24"/>
        </w:rPr>
        <w:t>e dommage immatériel ne relève pas de l’assurance décennale obligatoire (voir en ce sens : cass.civ 3</w:t>
      </w:r>
      <w:r w:rsidRPr="000C3800">
        <w:rPr>
          <w:rFonts w:eastAsia="Kalinga" w:cstheme="minorHAnsi"/>
          <w:sz w:val="24"/>
          <w:szCs w:val="24"/>
          <w:vertAlign w:val="superscript"/>
        </w:rPr>
        <w:t>ème</w:t>
      </w:r>
      <w:r w:rsidRPr="000C3800">
        <w:rPr>
          <w:rFonts w:eastAsia="Kalinga" w:cstheme="minorHAnsi"/>
          <w:sz w:val="24"/>
          <w:szCs w:val="24"/>
        </w:rPr>
        <w:t xml:space="preserve"> du 5/03/2020 n°18-15.164).</w:t>
      </w:r>
    </w:p>
    <w:p w14:paraId="14593C55" w14:textId="0DC51733" w:rsidR="00F403BC" w:rsidRDefault="00F403BC" w:rsidP="00820DD0">
      <w:pPr>
        <w:pStyle w:val="Sansinterligne"/>
      </w:pPr>
    </w:p>
    <w:p w14:paraId="3BBB75B2" w14:textId="77777777" w:rsidR="00CB6CEF" w:rsidRDefault="00CB6CEF" w:rsidP="00820DD0">
      <w:pPr>
        <w:pStyle w:val="Sansinterligne"/>
      </w:pPr>
    </w:p>
    <w:p w14:paraId="68D62D2C" w14:textId="2894DA3C" w:rsidR="00F403BC" w:rsidRPr="00C02516" w:rsidRDefault="00F403BC" w:rsidP="00C02516">
      <w:pPr>
        <w:pStyle w:val="Sansinterligne"/>
        <w:numPr>
          <w:ilvl w:val="0"/>
          <w:numId w:val="23"/>
        </w:numPr>
        <w:rPr>
          <w:b/>
          <w:bCs/>
          <w:sz w:val="24"/>
          <w:szCs w:val="24"/>
          <w:u w:val="single"/>
        </w:rPr>
      </w:pPr>
      <w:r w:rsidRPr="00C02516">
        <w:rPr>
          <w:b/>
          <w:bCs/>
          <w:sz w:val="24"/>
          <w:szCs w:val="24"/>
          <w:u w:val="single"/>
        </w:rPr>
        <w:t>Réception partielle par lot</w:t>
      </w:r>
    </w:p>
    <w:p w14:paraId="13013B3E" w14:textId="77777777" w:rsidR="00F403BC" w:rsidRPr="00C02516" w:rsidRDefault="00F403BC" w:rsidP="00820DD0">
      <w:pPr>
        <w:pStyle w:val="Sansinterligne"/>
        <w:rPr>
          <w:sz w:val="24"/>
          <w:szCs w:val="24"/>
        </w:rPr>
      </w:pPr>
    </w:p>
    <w:p w14:paraId="0F166CBF" w14:textId="24FAA18F" w:rsidR="00F403BC" w:rsidRPr="00FE34EB" w:rsidRDefault="00F403BC" w:rsidP="00FE34EB">
      <w:pPr>
        <w:pStyle w:val="Sansinterligne"/>
        <w:jc w:val="both"/>
        <w:rPr>
          <w:rFonts w:cstheme="minorHAnsi"/>
          <w:sz w:val="24"/>
          <w:szCs w:val="24"/>
          <w:shd w:val="clear" w:color="auto" w:fill="FFFFFF"/>
        </w:rPr>
      </w:pPr>
      <w:r w:rsidRPr="00FE34EB">
        <w:rPr>
          <w:rFonts w:cstheme="minorHAnsi"/>
          <w:b/>
          <w:bCs/>
          <w:sz w:val="24"/>
          <w:szCs w:val="24"/>
          <w:u w:val="single"/>
        </w:rPr>
        <w:t>CA de RENNES, 22 février 2024, RG n°22/04059</w:t>
      </w:r>
      <w:r w:rsidR="00C02516" w:rsidRPr="00FE34EB">
        <w:rPr>
          <w:rFonts w:cstheme="minorHAnsi"/>
          <w:b/>
          <w:bCs/>
          <w:sz w:val="24"/>
          <w:szCs w:val="24"/>
          <w:u w:val="single"/>
        </w:rPr>
        <w:t> :</w:t>
      </w:r>
      <w:r w:rsidR="00376E1F" w:rsidRPr="00FE34EB">
        <w:rPr>
          <w:rFonts w:cstheme="minorHAnsi"/>
          <w:b/>
          <w:bCs/>
          <w:sz w:val="24"/>
          <w:szCs w:val="24"/>
          <w:u w:val="single"/>
        </w:rPr>
        <w:t xml:space="preserve"> </w:t>
      </w:r>
      <w:r w:rsidR="00376E1F" w:rsidRPr="00FE34EB">
        <w:rPr>
          <w:rFonts w:cstheme="minorHAnsi"/>
          <w:sz w:val="24"/>
          <w:szCs w:val="24"/>
        </w:rPr>
        <w:t xml:space="preserve">les travaux de charpente peuvent faire l’objet d’une réception </w:t>
      </w:r>
      <w:r w:rsidR="00C2461C" w:rsidRPr="00FE34EB">
        <w:rPr>
          <w:rFonts w:cstheme="minorHAnsi"/>
          <w:sz w:val="24"/>
          <w:szCs w:val="24"/>
        </w:rPr>
        <w:t>dès lors qu’ils</w:t>
      </w:r>
      <w:r w:rsidR="00C2461C" w:rsidRPr="00FE34EB">
        <w:rPr>
          <w:rFonts w:cstheme="minorHAnsi"/>
          <w:sz w:val="24"/>
          <w:szCs w:val="24"/>
          <w:shd w:val="clear" w:color="auto" w:fill="FFFFFF"/>
        </w:rPr>
        <w:t xml:space="preserve"> constituent un ensemble cohérent, qu’ils ont été  intégralement payés et qu’aucun grief n’a été adressé par les maitres d’ouvrage au charpentier.</w:t>
      </w:r>
    </w:p>
    <w:p w14:paraId="3B6166FD" w14:textId="77777777" w:rsidR="00C2461C" w:rsidRPr="00FE34EB" w:rsidRDefault="00C2461C" w:rsidP="00FE34EB">
      <w:pPr>
        <w:pStyle w:val="Sansinterligne"/>
        <w:jc w:val="both"/>
        <w:rPr>
          <w:rFonts w:cstheme="minorHAnsi"/>
          <w:sz w:val="24"/>
          <w:szCs w:val="24"/>
          <w:shd w:val="clear" w:color="auto" w:fill="FFFFFF"/>
        </w:rPr>
      </w:pPr>
    </w:p>
    <w:p w14:paraId="772E3E9C" w14:textId="373FACEC" w:rsidR="00C2461C" w:rsidRDefault="00C2461C" w:rsidP="00FE34EB">
      <w:pPr>
        <w:pStyle w:val="Sansinterligne"/>
        <w:jc w:val="both"/>
        <w:rPr>
          <w:rFonts w:cstheme="minorHAnsi"/>
          <w:sz w:val="24"/>
          <w:szCs w:val="24"/>
          <w:shd w:val="clear" w:color="auto" w:fill="FFFFFF"/>
        </w:rPr>
      </w:pPr>
      <w:r w:rsidRPr="00FE34EB">
        <w:rPr>
          <w:rFonts w:cstheme="minorHAnsi"/>
          <w:sz w:val="24"/>
          <w:szCs w:val="24"/>
          <w:shd w:val="clear" w:color="auto" w:fill="FFFFFF"/>
        </w:rPr>
        <w:t>Aux termes de sa motivation, la 4</w:t>
      </w:r>
      <w:r w:rsidRPr="00FE34EB">
        <w:rPr>
          <w:rFonts w:cstheme="minorHAnsi"/>
          <w:sz w:val="24"/>
          <w:szCs w:val="24"/>
          <w:shd w:val="clear" w:color="auto" w:fill="FFFFFF"/>
          <w:vertAlign w:val="superscript"/>
        </w:rPr>
        <w:t>ème</w:t>
      </w:r>
      <w:r w:rsidRPr="00FE34EB">
        <w:rPr>
          <w:rFonts w:cstheme="minorHAnsi"/>
          <w:sz w:val="24"/>
          <w:szCs w:val="24"/>
          <w:shd w:val="clear" w:color="auto" w:fill="FFFFFF"/>
        </w:rPr>
        <w:t xml:space="preserve"> chambre civile de la Cour d’Appel de RENNES rappelle quelques principes en matière de réception des travaux</w:t>
      </w:r>
      <w:r w:rsidR="00FE34EB">
        <w:rPr>
          <w:rFonts w:cstheme="minorHAnsi"/>
          <w:sz w:val="24"/>
          <w:szCs w:val="24"/>
          <w:shd w:val="clear" w:color="auto" w:fill="FFFFFF"/>
        </w:rPr>
        <w:t> :</w:t>
      </w:r>
    </w:p>
    <w:p w14:paraId="5791E531" w14:textId="77777777" w:rsidR="00FE34EB" w:rsidRDefault="00FE34EB" w:rsidP="00FE34EB">
      <w:pPr>
        <w:pStyle w:val="Sansinterligne"/>
        <w:jc w:val="both"/>
        <w:rPr>
          <w:rFonts w:cstheme="minorHAnsi"/>
          <w:sz w:val="24"/>
          <w:szCs w:val="24"/>
          <w:shd w:val="clear" w:color="auto" w:fill="FFFFFF"/>
        </w:rPr>
      </w:pPr>
    </w:p>
    <w:p w14:paraId="4D6B3790" w14:textId="6688061C" w:rsidR="00380D15" w:rsidRPr="00B2703A" w:rsidRDefault="00A75BD2" w:rsidP="00B2703A">
      <w:pPr>
        <w:pStyle w:val="Sansinterligne"/>
        <w:numPr>
          <w:ilvl w:val="0"/>
          <w:numId w:val="25"/>
        </w:numPr>
        <w:jc w:val="both"/>
        <w:rPr>
          <w:rFonts w:cstheme="minorHAnsi"/>
          <w:b/>
          <w:bCs/>
          <w:sz w:val="24"/>
          <w:szCs w:val="24"/>
          <w:u w:val="single"/>
        </w:rPr>
      </w:pPr>
      <w:r w:rsidRPr="00B2703A">
        <w:rPr>
          <w:rFonts w:cstheme="minorHAnsi"/>
          <w:sz w:val="24"/>
          <w:szCs w:val="24"/>
          <w:shd w:val="clear" w:color="auto" w:fill="FFFFFF"/>
        </w:rPr>
        <w:t>Le paiement de l'intégralité des travaux d'un lot et sa prise de possession par le maître de l'ouvrage valent présomption de réception tacite (3e Civ., 30 janvier 2019, n°18-10.699) avec ou sans réserve.</w:t>
      </w:r>
    </w:p>
    <w:p w14:paraId="0CA92F3B" w14:textId="77777777" w:rsidR="00380D15" w:rsidRPr="00B2703A" w:rsidRDefault="00380D15" w:rsidP="00B2703A">
      <w:pPr>
        <w:pStyle w:val="Sansinterligne"/>
        <w:ind w:left="720"/>
        <w:jc w:val="both"/>
        <w:rPr>
          <w:rFonts w:cstheme="minorHAnsi"/>
          <w:b/>
          <w:bCs/>
          <w:sz w:val="24"/>
          <w:szCs w:val="24"/>
          <w:u w:val="single"/>
        </w:rPr>
      </w:pPr>
    </w:p>
    <w:p w14:paraId="1878BC98" w14:textId="70FD25B2" w:rsidR="00380D15" w:rsidRPr="00B2703A" w:rsidRDefault="00A75BD2" w:rsidP="00B2703A">
      <w:pPr>
        <w:pStyle w:val="Sansinterligne"/>
        <w:numPr>
          <w:ilvl w:val="0"/>
          <w:numId w:val="25"/>
        </w:numPr>
        <w:jc w:val="both"/>
        <w:rPr>
          <w:rFonts w:cstheme="minorHAnsi"/>
          <w:b/>
          <w:bCs/>
          <w:sz w:val="24"/>
          <w:szCs w:val="24"/>
          <w:u w:val="single"/>
        </w:rPr>
      </w:pPr>
      <w:r w:rsidRPr="00B2703A">
        <w:rPr>
          <w:rFonts w:cstheme="minorHAnsi"/>
          <w:sz w:val="24"/>
          <w:szCs w:val="24"/>
          <w:shd w:val="clear" w:color="auto" w:fill="FFFFFF"/>
        </w:rPr>
        <w:t>La réception partielle d'un ouvrage, notamment par lots (</w:t>
      </w:r>
      <w:r w:rsidRPr="00B2703A">
        <w:rPr>
          <w:rStyle w:val="m-data-arret"/>
          <w:rFonts w:cstheme="minorHAnsi"/>
          <w:sz w:val="24"/>
          <w:szCs w:val="24"/>
          <w:bdr w:val="none" w:sz="0" w:space="0" w:color="auto" w:frame="1"/>
          <w:shd w:val="clear" w:color="auto" w:fill="FFFFFF"/>
        </w:rPr>
        <w:t>3e Civ., 21 juin 2011, n°10-20.216</w:t>
      </w:r>
      <w:r w:rsidRPr="00B2703A">
        <w:rPr>
          <w:rFonts w:cstheme="minorHAnsi"/>
          <w:sz w:val="24"/>
          <w:szCs w:val="24"/>
          <w:shd w:val="clear" w:color="auto" w:fill="FFFFFF"/>
        </w:rPr>
        <w:t>) est possible même si les différents lots sont confiés au même entrepreneur par un marché unique (</w:t>
      </w:r>
      <w:r w:rsidRPr="00B2703A">
        <w:rPr>
          <w:rStyle w:val="m-data-arret"/>
          <w:rFonts w:cstheme="minorHAnsi"/>
          <w:sz w:val="24"/>
          <w:szCs w:val="24"/>
          <w:bdr w:val="none" w:sz="0" w:space="0" w:color="auto" w:frame="1"/>
          <w:shd w:val="clear" w:color="auto" w:fill="FFFFFF"/>
        </w:rPr>
        <w:t>3e Civ., 5 novembre 2020, n°19-10.724</w:t>
      </w:r>
      <w:r w:rsidRPr="00B2703A">
        <w:rPr>
          <w:rFonts w:cstheme="minorHAnsi"/>
          <w:sz w:val="24"/>
          <w:szCs w:val="24"/>
          <w:shd w:val="clear" w:color="auto" w:fill="FFFFFF"/>
        </w:rPr>
        <w:t xml:space="preserve">). </w:t>
      </w:r>
    </w:p>
    <w:p w14:paraId="6AE7CFFC" w14:textId="77777777" w:rsidR="00380D15" w:rsidRPr="00B2703A" w:rsidRDefault="00380D15" w:rsidP="00B2703A">
      <w:pPr>
        <w:pStyle w:val="Paragraphedeliste"/>
        <w:jc w:val="both"/>
        <w:rPr>
          <w:rFonts w:cstheme="minorHAnsi"/>
          <w:sz w:val="24"/>
          <w:szCs w:val="24"/>
          <w:shd w:val="clear" w:color="auto" w:fill="FFFFFF"/>
        </w:rPr>
      </w:pPr>
    </w:p>
    <w:p w14:paraId="396B38FC" w14:textId="3A9C1CE5" w:rsidR="00380D15" w:rsidRPr="00B2703A" w:rsidRDefault="00A75BD2" w:rsidP="00B2703A">
      <w:pPr>
        <w:pStyle w:val="Sansinterligne"/>
        <w:numPr>
          <w:ilvl w:val="0"/>
          <w:numId w:val="25"/>
        </w:numPr>
        <w:jc w:val="both"/>
        <w:rPr>
          <w:rFonts w:cstheme="minorHAnsi"/>
          <w:b/>
          <w:bCs/>
          <w:sz w:val="24"/>
          <w:szCs w:val="24"/>
          <w:u w:val="single"/>
        </w:rPr>
      </w:pPr>
      <w:r w:rsidRPr="00B2703A">
        <w:rPr>
          <w:rFonts w:cstheme="minorHAnsi"/>
          <w:sz w:val="24"/>
          <w:szCs w:val="24"/>
          <w:shd w:val="clear" w:color="auto" w:fill="FFFFFF"/>
        </w:rPr>
        <w:t>Il est admis de réceptionner des tranches de travaux indépendantes qui forment un ensemble cohérent (</w:t>
      </w:r>
      <w:r w:rsidRPr="00B2703A">
        <w:rPr>
          <w:rStyle w:val="m-data-arret"/>
          <w:rFonts w:cstheme="minorHAnsi"/>
          <w:sz w:val="24"/>
          <w:szCs w:val="24"/>
          <w:bdr w:val="none" w:sz="0" w:space="0" w:color="auto" w:frame="1"/>
          <w:shd w:val="clear" w:color="auto" w:fill="FFFFFF"/>
        </w:rPr>
        <w:t>3e Civ., 16 mars 2022, n°20-16.829</w:t>
      </w:r>
      <w:r w:rsidRPr="00B2703A">
        <w:rPr>
          <w:rFonts w:cstheme="minorHAnsi"/>
          <w:sz w:val="24"/>
          <w:szCs w:val="24"/>
          <w:shd w:val="clear" w:color="auto" w:fill="FFFFFF"/>
        </w:rPr>
        <w:t>).</w:t>
      </w:r>
    </w:p>
    <w:p w14:paraId="6175EB6B" w14:textId="77777777" w:rsidR="00380D15" w:rsidRPr="00B2703A" w:rsidRDefault="00380D15" w:rsidP="00B2703A">
      <w:pPr>
        <w:pStyle w:val="Paragraphedeliste"/>
        <w:jc w:val="both"/>
        <w:rPr>
          <w:rFonts w:cstheme="minorHAnsi"/>
          <w:sz w:val="24"/>
          <w:szCs w:val="24"/>
          <w:shd w:val="clear" w:color="auto" w:fill="FFFFFF"/>
        </w:rPr>
      </w:pPr>
    </w:p>
    <w:p w14:paraId="330CFEDA" w14:textId="5B0A6901" w:rsidR="00A75BD2" w:rsidRPr="00B2703A" w:rsidRDefault="00A75BD2" w:rsidP="00B2703A">
      <w:pPr>
        <w:pStyle w:val="Sansinterligne"/>
        <w:numPr>
          <w:ilvl w:val="0"/>
          <w:numId w:val="25"/>
        </w:numPr>
        <w:jc w:val="both"/>
        <w:rPr>
          <w:rFonts w:cstheme="minorHAnsi"/>
          <w:b/>
          <w:bCs/>
          <w:sz w:val="24"/>
          <w:szCs w:val="24"/>
          <w:u w:val="single"/>
        </w:rPr>
      </w:pPr>
      <w:r w:rsidRPr="00B2703A">
        <w:rPr>
          <w:rFonts w:cstheme="minorHAnsi"/>
          <w:sz w:val="24"/>
          <w:szCs w:val="24"/>
          <w:shd w:val="clear" w:color="auto" w:fill="FFFFFF"/>
        </w:rPr>
        <w:t>Il est également constant que l'achèvement de la totalité de l'ouvrage n'est pas une condition de la prise de possession d'un lot et de sa réception.</w:t>
      </w:r>
    </w:p>
    <w:p w14:paraId="407801D2" w14:textId="77777777" w:rsidR="008C2E5D" w:rsidRPr="00B2703A" w:rsidRDefault="008C2E5D" w:rsidP="00B2703A">
      <w:pPr>
        <w:pStyle w:val="Sansinterligne"/>
        <w:jc w:val="both"/>
        <w:rPr>
          <w:rFonts w:cstheme="minorHAnsi"/>
          <w:sz w:val="24"/>
          <w:szCs w:val="24"/>
        </w:rPr>
      </w:pPr>
    </w:p>
    <w:p w14:paraId="030B6526" w14:textId="4FD611AC" w:rsidR="008C2E5D" w:rsidRPr="002A0AAC" w:rsidRDefault="004F4D05" w:rsidP="004F4D05">
      <w:pPr>
        <w:pStyle w:val="Sansinterligne"/>
        <w:numPr>
          <w:ilvl w:val="0"/>
          <w:numId w:val="23"/>
        </w:numPr>
        <w:rPr>
          <w:b/>
          <w:bCs/>
          <w:sz w:val="24"/>
          <w:szCs w:val="24"/>
          <w:u w:val="single"/>
        </w:rPr>
      </w:pPr>
      <w:r w:rsidRPr="002A0AAC">
        <w:rPr>
          <w:b/>
          <w:bCs/>
          <w:sz w:val="24"/>
          <w:szCs w:val="24"/>
          <w:u w:val="single"/>
        </w:rPr>
        <w:t>Clause de conciliation préalable et fin de non-recevoir</w:t>
      </w:r>
    </w:p>
    <w:p w14:paraId="2956894F" w14:textId="77777777" w:rsidR="0052752D" w:rsidRPr="002A0AAC" w:rsidRDefault="0052752D" w:rsidP="00820DD0">
      <w:pPr>
        <w:pStyle w:val="Sansinterligne"/>
        <w:rPr>
          <w:sz w:val="24"/>
          <w:szCs w:val="24"/>
        </w:rPr>
      </w:pPr>
    </w:p>
    <w:p w14:paraId="28A9CAD6" w14:textId="0FAAF645" w:rsidR="0052752D" w:rsidRPr="00CA57F4" w:rsidRDefault="002A0AAC" w:rsidP="00CA57F4">
      <w:pPr>
        <w:pStyle w:val="Sansinterligne"/>
        <w:jc w:val="both"/>
        <w:rPr>
          <w:rFonts w:cstheme="minorHAnsi"/>
          <w:sz w:val="24"/>
          <w:szCs w:val="24"/>
          <w:shd w:val="clear" w:color="auto" w:fill="FFFFFF"/>
        </w:rPr>
      </w:pPr>
      <w:r w:rsidRPr="00B64635">
        <w:rPr>
          <w:b/>
          <w:bCs/>
          <w:sz w:val="24"/>
          <w:szCs w:val="24"/>
          <w:u w:val="single"/>
        </w:rPr>
        <w:t>Cass.civ 3</w:t>
      </w:r>
      <w:r w:rsidRPr="00B64635">
        <w:rPr>
          <w:b/>
          <w:bCs/>
          <w:sz w:val="24"/>
          <w:szCs w:val="24"/>
          <w:u w:val="single"/>
          <w:vertAlign w:val="superscript"/>
        </w:rPr>
        <w:t>ème</w:t>
      </w:r>
      <w:r w:rsidRPr="00B64635">
        <w:rPr>
          <w:b/>
          <w:bCs/>
          <w:sz w:val="24"/>
          <w:szCs w:val="24"/>
          <w:u w:val="single"/>
        </w:rPr>
        <w:t>, 7 mars 2024, n°21-22.372</w:t>
      </w:r>
      <w:r w:rsidR="00B64635">
        <w:rPr>
          <w:b/>
          <w:bCs/>
          <w:sz w:val="24"/>
          <w:szCs w:val="24"/>
        </w:rPr>
        <w:t> :</w:t>
      </w:r>
      <w:r w:rsidR="002E3E86">
        <w:rPr>
          <w:b/>
          <w:bCs/>
          <w:sz w:val="24"/>
          <w:szCs w:val="24"/>
        </w:rPr>
        <w:t xml:space="preserve"> </w:t>
      </w:r>
      <w:r w:rsidR="002E3E86" w:rsidRPr="00CA57F4">
        <w:rPr>
          <w:rFonts w:cstheme="minorHAnsi"/>
          <w:sz w:val="24"/>
          <w:szCs w:val="24"/>
          <w:shd w:val="clear" w:color="auto" w:fill="FFFFFF"/>
        </w:rPr>
        <w:t>La clause de conciliation préalable stipulée dans le contrat d'architecte produit ses effets et caractérise une fin de non-recevoir si elle n'est pas mise en œuvre ; sauf lorsque l'action est initiée sur le fondement de la responsabilité civile décennale.</w:t>
      </w:r>
    </w:p>
    <w:p w14:paraId="756EFD53" w14:textId="77777777" w:rsidR="00BD2A0E" w:rsidRDefault="00BD2A0E" w:rsidP="00820DD0">
      <w:pPr>
        <w:pStyle w:val="Sansinterligne"/>
        <w:rPr>
          <w:rFonts w:ascii="Arial" w:hAnsi="Arial" w:cs="Arial"/>
          <w:b/>
          <w:bCs/>
          <w:color w:val="1A3458"/>
          <w:sz w:val="23"/>
          <w:szCs w:val="23"/>
          <w:shd w:val="clear" w:color="auto" w:fill="FFFFFF"/>
        </w:rPr>
      </w:pPr>
    </w:p>
    <w:p w14:paraId="6D3D65A2" w14:textId="58E79D0B" w:rsidR="00095CCC" w:rsidRPr="00095CCC" w:rsidRDefault="00CA57F4" w:rsidP="00095CCC">
      <w:pPr>
        <w:pStyle w:val="Sansinterligne"/>
        <w:jc w:val="both"/>
        <w:rPr>
          <w:rFonts w:cstheme="minorHAnsi"/>
          <w:sz w:val="24"/>
          <w:szCs w:val="24"/>
          <w:shd w:val="clear" w:color="auto" w:fill="FFFFFF"/>
        </w:rPr>
      </w:pPr>
      <w:r w:rsidRPr="00095CCC">
        <w:rPr>
          <w:rFonts w:cstheme="minorHAnsi"/>
          <w:sz w:val="24"/>
          <w:szCs w:val="24"/>
          <w:shd w:val="clear" w:color="auto" w:fill="FFFFFF"/>
        </w:rPr>
        <w:t>I</w:t>
      </w:r>
      <w:r w:rsidR="00BD2A0E" w:rsidRPr="00095CCC">
        <w:rPr>
          <w:rFonts w:cstheme="minorHAnsi"/>
          <w:sz w:val="24"/>
          <w:szCs w:val="24"/>
          <w:shd w:val="clear" w:color="auto" w:fill="FFFFFF"/>
        </w:rPr>
        <w:t>l est jugé depuis un arrêt de la chambre mixte de la </w:t>
      </w:r>
      <w:r w:rsidR="00BD2A0E" w:rsidRPr="00095CCC">
        <w:rPr>
          <w:rStyle w:val="m-data-arret"/>
          <w:rFonts w:cstheme="minorHAnsi"/>
          <w:sz w:val="24"/>
          <w:szCs w:val="24"/>
          <w:bdr w:val="none" w:sz="0" w:space="0" w:color="auto" w:frame="1"/>
          <w:shd w:val="clear" w:color="auto" w:fill="FFFFFF"/>
        </w:rPr>
        <w:t>Cour de cassation (Ch. mixte, 14 février 2003, pourvois n° 00-19.423, 00-19.424</w:t>
      </w:r>
      <w:r w:rsidR="00BD2A0E" w:rsidRPr="00095CCC">
        <w:rPr>
          <w:rFonts w:cstheme="minorHAnsi"/>
          <w:sz w:val="24"/>
          <w:szCs w:val="24"/>
          <w:shd w:val="clear" w:color="auto" w:fill="FFFFFF"/>
        </w:rPr>
        <w:t xml:space="preserve">) que le moyen tiré du défaut de mise en </w:t>
      </w:r>
      <w:r w:rsidR="009C19DF" w:rsidRPr="00095CCC">
        <w:rPr>
          <w:rFonts w:cstheme="minorHAnsi"/>
          <w:sz w:val="24"/>
          <w:szCs w:val="24"/>
          <w:shd w:val="clear" w:color="auto" w:fill="FFFFFF"/>
        </w:rPr>
        <w:t>œuvre</w:t>
      </w:r>
      <w:r w:rsidR="00BD2A0E" w:rsidRPr="00095CCC">
        <w:rPr>
          <w:rFonts w:cstheme="minorHAnsi"/>
          <w:sz w:val="24"/>
          <w:szCs w:val="24"/>
          <w:shd w:val="clear" w:color="auto" w:fill="FFFFFF"/>
        </w:rPr>
        <w:t xml:space="preserve"> de la clause d'un contrat instituant une procédure de conciliation obligatoire et préalable à la saisine du juge constitue une fin de non-recevoir</w:t>
      </w:r>
      <w:r w:rsidRPr="00095CCC">
        <w:rPr>
          <w:rFonts w:cstheme="minorHAnsi"/>
          <w:sz w:val="24"/>
          <w:szCs w:val="24"/>
          <w:shd w:val="clear" w:color="auto" w:fill="FFFFFF"/>
        </w:rPr>
        <w:t>.</w:t>
      </w:r>
    </w:p>
    <w:p w14:paraId="7159A051" w14:textId="77777777" w:rsidR="00095CCC" w:rsidRPr="00095CCC" w:rsidRDefault="00095CCC" w:rsidP="00095CCC">
      <w:pPr>
        <w:pStyle w:val="Sansinterligne"/>
        <w:jc w:val="both"/>
        <w:rPr>
          <w:rFonts w:cstheme="minorHAnsi"/>
          <w:sz w:val="24"/>
          <w:szCs w:val="24"/>
          <w:shd w:val="clear" w:color="auto" w:fill="FFFFFF"/>
        </w:rPr>
      </w:pPr>
    </w:p>
    <w:p w14:paraId="1F8A24F7" w14:textId="0517168A" w:rsidR="00BD2A0E" w:rsidRDefault="00095CCC" w:rsidP="00095CCC">
      <w:pPr>
        <w:pStyle w:val="Sansinterligne"/>
        <w:jc w:val="both"/>
        <w:rPr>
          <w:rFonts w:cstheme="minorHAnsi"/>
          <w:sz w:val="24"/>
          <w:szCs w:val="24"/>
          <w:shd w:val="clear" w:color="auto" w:fill="FFFFFF"/>
        </w:rPr>
      </w:pPr>
      <w:r w:rsidRPr="00095CCC">
        <w:rPr>
          <w:rFonts w:cstheme="minorHAnsi"/>
          <w:sz w:val="24"/>
          <w:szCs w:val="24"/>
          <w:shd w:val="clear" w:color="auto" w:fill="FFFFFF"/>
        </w:rPr>
        <w:t>D</w:t>
      </w:r>
      <w:r w:rsidR="00BD2A0E" w:rsidRPr="00095CCC">
        <w:rPr>
          <w:rFonts w:cstheme="minorHAnsi"/>
          <w:sz w:val="24"/>
          <w:szCs w:val="24"/>
          <w:shd w:val="clear" w:color="auto" w:fill="FFFFFF"/>
        </w:rPr>
        <w:t>epuis un arrêt rendu dans la même formation solennelle (Ch. mixte., 12 décembre 2014, pourvoi n° </w:t>
      </w:r>
      <w:r w:rsidR="00BD2A0E" w:rsidRPr="00095CCC">
        <w:rPr>
          <w:rStyle w:val="m-data-arret"/>
          <w:rFonts w:cstheme="minorHAnsi"/>
          <w:sz w:val="24"/>
          <w:szCs w:val="24"/>
          <w:bdr w:val="none" w:sz="0" w:space="0" w:color="auto" w:frame="1"/>
          <w:shd w:val="clear" w:color="auto" w:fill="FFFFFF"/>
        </w:rPr>
        <w:t>13-19.684</w:t>
      </w:r>
      <w:r w:rsidR="00BD2A0E" w:rsidRPr="00095CCC">
        <w:rPr>
          <w:rFonts w:cstheme="minorHAnsi"/>
          <w:sz w:val="24"/>
          <w:szCs w:val="24"/>
          <w:shd w:val="clear" w:color="auto" w:fill="FFFFFF"/>
        </w:rPr>
        <w:t xml:space="preserve">), la situation donnant lieu à la fin de non-recevoir tirée du défaut de mise en </w:t>
      </w:r>
      <w:r w:rsidR="009C19DF" w:rsidRPr="00095CCC">
        <w:rPr>
          <w:rFonts w:cstheme="minorHAnsi"/>
          <w:sz w:val="24"/>
          <w:szCs w:val="24"/>
          <w:shd w:val="clear" w:color="auto" w:fill="FFFFFF"/>
        </w:rPr>
        <w:t>œuvre</w:t>
      </w:r>
      <w:r w:rsidR="00BD2A0E" w:rsidRPr="00095CCC">
        <w:rPr>
          <w:rFonts w:cstheme="minorHAnsi"/>
          <w:sz w:val="24"/>
          <w:szCs w:val="24"/>
          <w:shd w:val="clear" w:color="auto" w:fill="FFFFFF"/>
        </w:rPr>
        <w:t xml:space="preserve"> d'une clause contractuelle qui institue une procédure, obligatoire et préalable à la saisine du juge, favorisant une solution du litige par le recours à un tiers, n'est pas susceptible d'être régularisée par la mise en </w:t>
      </w:r>
      <w:r w:rsidR="009C19DF" w:rsidRPr="00095CCC">
        <w:rPr>
          <w:rFonts w:cstheme="minorHAnsi"/>
          <w:sz w:val="24"/>
          <w:szCs w:val="24"/>
          <w:shd w:val="clear" w:color="auto" w:fill="FFFFFF"/>
        </w:rPr>
        <w:t>œuvre</w:t>
      </w:r>
      <w:r w:rsidR="00BD2A0E" w:rsidRPr="00095CCC">
        <w:rPr>
          <w:rFonts w:cstheme="minorHAnsi"/>
          <w:sz w:val="24"/>
          <w:szCs w:val="24"/>
          <w:shd w:val="clear" w:color="auto" w:fill="FFFFFF"/>
        </w:rPr>
        <w:t xml:space="preserve"> de la clause en cours d'instance.</w:t>
      </w:r>
    </w:p>
    <w:p w14:paraId="4CAF8772" w14:textId="77777777" w:rsidR="00F349FB" w:rsidRDefault="00F349FB" w:rsidP="00095CCC">
      <w:pPr>
        <w:pStyle w:val="Sansinterligne"/>
        <w:jc w:val="both"/>
        <w:rPr>
          <w:rFonts w:cstheme="minorHAnsi"/>
          <w:sz w:val="24"/>
          <w:szCs w:val="24"/>
          <w:shd w:val="clear" w:color="auto" w:fill="FFFFFF"/>
        </w:rPr>
      </w:pPr>
    </w:p>
    <w:p w14:paraId="6F2DFBC7" w14:textId="553114EB" w:rsidR="00F349FB" w:rsidRPr="00F31D50" w:rsidRDefault="00F31D50" w:rsidP="00F31D50">
      <w:pPr>
        <w:pStyle w:val="Sansinterligne"/>
        <w:pBdr>
          <w:bottom w:val="single" w:sz="4" w:space="1" w:color="auto"/>
        </w:pBdr>
        <w:ind w:left="1701"/>
        <w:jc w:val="both"/>
        <w:rPr>
          <w:rFonts w:cstheme="minorHAnsi"/>
          <w:b/>
          <w:bCs/>
          <w:sz w:val="24"/>
          <w:szCs w:val="24"/>
          <w:shd w:val="clear" w:color="auto" w:fill="FFFFFF"/>
        </w:rPr>
      </w:pPr>
      <w:r w:rsidRPr="00F31D50">
        <w:rPr>
          <w:rFonts w:cstheme="minorHAnsi"/>
          <w:b/>
          <w:bCs/>
          <w:sz w:val="24"/>
          <w:szCs w:val="24"/>
          <w:shd w:val="clear" w:color="auto" w:fill="FFFFFF"/>
        </w:rPr>
        <w:t>Voir également en ce sens :</w:t>
      </w:r>
    </w:p>
    <w:p w14:paraId="2A6BFE22" w14:textId="3D6FF2EF" w:rsidR="00F31D50" w:rsidRPr="00F31D50" w:rsidRDefault="00F31D50" w:rsidP="00F31D50">
      <w:pPr>
        <w:pStyle w:val="Sansinterligne"/>
        <w:ind w:left="1701"/>
        <w:jc w:val="both"/>
        <w:rPr>
          <w:rFonts w:cstheme="minorHAnsi"/>
          <w:b/>
          <w:bCs/>
          <w:sz w:val="24"/>
          <w:szCs w:val="24"/>
          <w:shd w:val="clear" w:color="auto" w:fill="FFFFFF"/>
        </w:rPr>
      </w:pPr>
      <w:r w:rsidRPr="00F31D50">
        <w:rPr>
          <w:rFonts w:cstheme="minorHAnsi"/>
          <w:b/>
          <w:bCs/>
          <w:sz w:val="24"/>
          <w:szCs w:val="24"/>
          <w:shd w:val="clear" w:color="auto" w:fill="FFFFFF"/>
        </w:rPr>
        <w:t>Cass.civ 3</w:t>
      </w:r>
      <w:r w:rsidRPr="00F31D50">
        <w:rPr>
          <w:rFonts w:cstheme="minorHAnsi"/>
          <w:b/>
          <w:bCs/>
          <w:sz w:val="24"/>
          <w:szCs w:val="24"/>
          <w:shd w:val="clear" w:color="auto" w:fill="FFFFFF"/>
          <w:vertAlign w:val="superscript"/>
        </w:rPr>
        <w:t>ème</w:t>
      </w:r>
      <w:r w:rsidRPr="00F31D50">
        <w:rPr>
          <w:rFonts w:cstheme="minorHAnsi"/>
          <w:b/>
          <w:bCs/>
          <w:sz w:val="24"/>
          <w:szCs w:val="24"/>
          <w:shd w:val="clear" w:color="auto" w:fill="FFFFFF"/>
        </w:rPr>
        <w:t>, 29 mai 2019, n°18-15.286</w:t>
      </w:r>
    </w:p>
    <w:p w14:paraId="233AE1FB" w14:textId="58994670" w:rsidR="00F31D50" w:rsidRPr="00F31D50" w:rsidRDefault="00F31D50" w:rsidP="00F31D50">
      <w:pPr>
        <w:pStyle w:val="Sansinterligne"/>
        <w:ind w:left="1701"/>
        <w:jc w:val="both"/>
        <w:rPr>
          <w:rFonts w:cstheme="minorHAnsi"/>
          <w:b/>
          <w:bCs/>
          <w:sz w:val="24"/>
          <w:szCs w:val="24"/>
          <w:shd w:val="clear" w:color="auto" w:fill="FFFFFF"/>
        </w:rPr>
      </w:pPr>
      <w:r w:rsidRPr="00F31D50">
        <w:rPr>
          <w:rFonts w:cstheme="minorHAnsi"/>
          <w:b/>
          <w:bCs/>
          <w:sz w:val="24"/>
          <w:szCs w:val="24"/>
          <w:shd w:val="clear" w:color="auto" w:fill="FFFFFF"/>
        </w:rPr>
        <w:t>Cass.civ 3</w:t>
      </w:r>
      <w:r w:rsidRPr="00F31D50">
        <w:rPr>
          <w:rFonts w:cstheme="minorHAnsi"/>
          <w:b/>
          <w:bCs/>
          <w:sz w:val="24"/>
          <w:szCs w:val="24"/>
          <w:shd w:val="clear" w:color="auto" w:fill="FFFFFF"/>
          <w:vertAlign w:val="superscript"/>
        </w:rPr>
        <w:t>ème</w:t>
      </w:r>
      <w:r w:rsidRPr="00F31D50">
        <w:rPr>
          <w:rFonts w:cstheme="minorHAnsi"/>
          <w:b/>
          <w:bCs/>
          <w:sz w:val="24"/>
          <w:szCs w:val="24"/>
          <w:shd w:val="clear" w:color="auto" w:fill="FFFFFF"/>
        </w:rPr>
        <w:t>, 23 mai 2007, n°06-15.668</w:t>
      </w:r>
    </w:p>
    <w:p w14:paraId="0CC82935" w14:textId="77777777" w:rsidR="009C19DF" w:rsidRPr="00095CCC" w:rsidRDefault="009C19DF" w:rsidP="00095CCC">
      <w:pPr>
        <w:pStyle w:val="Sansinterligne"/>
        <w:jc w:val="both"/>
        <w:rPr>
          <w:rFonts w:cstheme="minorHAnsi"/>
          <w:b/>
          <w:bCs/>
          <w:sz w:val="24"/>
          <w:szCs w:val="24"/>
        </w:rPr>
      </w:pPr>
    </w:p>
    <w:p w14:paraId="32F156AF" w14:textId="77777777" w:rsidR="002A0AAC" w:rsidRPr="002A0AAC" w:rsidRDefault="002A0AAC" w:rsidP="00820DD0">
      <w:pPr>
        <w:pStyle w:val="Sansinterligne"/>
        <w:rPr>
          <w:sz w:val="24"/>
          <w:szCs w:val="24"/>
        </w:rPr>
      </w:pPr>
    </w:p>
    <w:p w14:paraId="6B293C96" w14:textId="6E982DF6" w:rsidR="002A0AAC" w:rsidRPr="002A0AAC" w:rsidRDefault="002A0AAC" w:rsidP="002A0AAC">
      <w:pPr>
        <w:pStyle w:val="Sansinterligne"/>
        <w:numPr>
          <w:ilvl w:val="0"/>
          <w:numId w:val="23"/>
        </w:numPr>
        <w:rPr>
          <w:b/>
          <w:bCs/>
          <w:sz w:val="24"/>
          <w:szCs w:val="24"/>
          <w:u w:val="single"/>
        </w:rPr>
      </w:pPr>
      <w:r w:rsidRPr="002A0AAC">
        <w:rPr>
          <w:b/>
          <w:bCs/>
          <w:sz w:val="24"/>
          <w:szCs w:val="24"/>
          <w:u w:val="single"/>
        </w:rPr>
        <w:t>Sous-traitance et obligation du maître d’ouvrage</w:t>
      </w:r>
    </w:p>
    <w:p w14:paraId="213E9958" w14:textId="77777777" w:rsidR="002A0AAC" w:rsidRPr="002A0AAC" w:rsidRDefault="002A0AAC" w:rsidP="002A0AAC">
      <w:pPr>
        <w:pStyle w:val="Sansinterligne"/>
        <w:rPr>
          <w:sz w:val="24"/>
          <w:szCs w:val="24"/>
        </w:rPr>
      </w:pPr>
    </w:p>
    <w:p w14:paraId="62A74407" w14:textId="77777777" w:rsidR="002452B9" w:rsidRDefault="002A0AAC" w:rsidP="00D80B4A">
      <w:pPr>
        <w:pStyle w:val="Sansinterligne"/>
        <w:jc w:val="both"/>
        <w:rPr>
          <w:rFonts w:cstheme="minorHAnsi"/>
          <w:sz w:val="24"/>
          <w:szCs w:val="24"/>
          <w:shd w:val="clear" w:color="auto" w:fill="FFFFFF"/>
        </w:rPr>
      </w:pPr>
      <w:r w:rsidRPr="00B64635">
        <w:rPr>
          <w:b/>
          <w:bCs/>
          <w:sz w:val="24"/>
          <w:szCs w:val="24"/>
          <w:u w:val="single"/>
        </w:rPr>
        <w:t>Cass.civ 3</w:t>
      </w:r>
      <w:r w:rsidRPr="00B64635">
        <w:rPr>
          <w:b/>
          <w:bCs/>
          <w:sz w:val="24"/>
          <w:szCs w:val="24"/>
          <w:u w:val="single"/>
          <w:vertAlign w:val="superscript"/>
        </w:rPr>
        <w:t>ème</w:t>
      </w:r>
      <w:r w:rsidRPr="00B64635">
        <w:rPr>
          <w:b/>
          <w:bCs/>
          <w:sz w:val="24"/>
          <w:szCs w:val="24"/>
          <w:u w:val="single"/>
        </w:rPr>
        <w:t xml:space="preserve"> du 7 mars 2024, n°22-23.309</w:t>
      </w:r>
      <w:r w:rsidR="00B64635">
        <w:rPr>
          <w:b/>
          <w:bCs/>
          <w:sz w:val="24"/>
          <w:szCs w:val="24"/>
        </w:rPr>
        <w:t> :</w:t>
      </w:r>
      <w:r w:rsidR="00D80B4A">
        <w:rPr>
          <w:b/>
          <w:bCs/>
          <w:sz w:val="24"/>
          <w:szCs w:val="24"/>
        </w:rPr>
        <w:t xml:space="preserve"> </w:t>
      </w:r>
      <w:r w:rsidR="00D80B4A" w:rsidRPr="00D80B4A">
        <w:rPr>
          <w:rFonts w:cstheme="minorHAnsi"/>
          <w:sz w:val="24"/>
          <w:szCs w:val="24"/>
          <w:shd w:val="clear" w:color="auto" w:fill="FFFFFF"/>
        </w:rPr>
        <w:t xml:space="preserve">En application des articles 14-1 de la loi n° 75-1334 du 31 décembre 1975 et 1382, devenu 1240, du code civil, le maître de l'ouvrage, qui omet d'exiger de l'entrepreneur principal qu'il justifie, sauf délégation de paiement, de la fourniture d'une caution, prive le sous-traitant du bénéfice d'une garantie lui assurant le complet paiement du solde de ses travaux. </w:t>
      </w:r>
    </w:p>
    <w:p w14:paraId="333B1512" w14:textId="77777777" w:rsidR="002452B9" w:rsidRDefault="002452B9" w:rsidP="00D80B4A">
      <w:pPr>
        <w:pStyle w:val="Sansinterligne"/>
        <w:jc w:val="both"/>
        <w:rPr>
          <w:rFonts w:cstheme="minorHAnsi"/>
          <w:sz w:val="24"/>
          <w:szCs w:val="24"/>
          <w:shd w:val="clear" w:color="auto" w:fill="FFFFFF"/>
        </w:rPr>
      </w:pPr>
    </w:p>
    <w:p w14:paraId="3D82810C" w14:textId="77777777" w:rsidR="002452B9" w:rsidRDefault="00D80B4A" w:rsidP="00D80B4A">
      <w:pPr>
        <w:pStyle w:val="Sansinterligne"/>
        <w:jc w:val="both"/>
        <w:rPr>
          <w:rFonts w:cstheme="minorHAnsi"/>
          <w:sz w:val="24"/>
          <w:szCs w:val="24"/>
          <w:shd w:val="clear" w:color="auto" w:fill="FFFFFF"/>
        </w:rPr>
      </w:pPr>
      <w:r w:rsidRPr="00D80B4A">
        <w:rPr>
          <w:rFonts w:cstheme="minorHAnsi"/>
          <w:sz w:val="24"/>
          <w:szCs w:val="24"/>
          <w:shd w:val="clear" w:color="auto" w:fill="FFFFFF"/>
        </w:rPr>
        <w:t xml:space="preserve">Le préjudice réparable est alors égal à la différence entre les sommes que le sous-traitant aurait dû recevoir si une délégation de paiement lui avait été consentie ou si un établissement financier avait cautionné son marché et celles effectivement reçues. </w:t>
      </w:r>
    </w:p>
    <w:p w14:paraId="7CC26F99" w14:textId="77777777" w:rsidR="002452B9" w:rsidRDefault="002452B9" w:rsidP="00D80B4A">
      <w:pPr>
        <w:pStyle w:val="Sansinterligne"/>
        <w:jc w:val="both"/>
        <w:rPr>
          <w:rFonts w:cstheme="minorHAnsi"/>
          <w:sz w:val="24"/>
          <w:szCs w:val="24"/>
          <w:shd w:val="clear" w:color="auto" w:fill="FFFFFF"/>
        </w:rPr>
      </w:pPr>
    </w:p>
    <w:p w14:paraId="432D20C4" w14:textId="30A2269E" w:rsidR="002A0AAC" w:rsidRDefault="00D80B4A" w:rsidP="00D80B4A">
      <w:pPr>
        <w:pStyle w:val="Sansinterligne"/>
        <w:jc w:val="both"/>
        <w:rPr>
          <w:rFonts w:cstheme="minorHAnsi"/>
          <w:sz w:val="24"/>
          <w:szCs w:val="24"/>
          <w:shd w:val="clear" w:color="auto" w:fill="FFFFFF"/>
        </w:rPr>
      </w:pPr>
      <w:r w:rsidRPr="00D80B4A">
        <w:rPr>
          <w:rFonts w:cstheme="minorHAnsi"/>
          <w:sz w:val="24"/>
          <w:szCs w:val="24"/>
          <w:shd w:val="clear" w:color="auto" w:fill="FFFFFF"/>
        </w:rPr>
        <w:t>L'indemnisation accordée au sous-traitant est donc déterminée par rapport aux sommes restant dues par l'entrepreneur principal au sous-traitant, peu important que les travaux aient été acceptés par le maître de l'ouvrage dès lors qu'ils avaient été confiés au sous-traitant pour l'exécution du marché principal</w:t>
      </w:r>
      <w:r w:rsidR="00266958">
        <w:rPr>
          <w:rFonts w:cstheme="minorHAnsi"/>
          <w:sz w:val="24"/>
          <w:szCs w:val="24"/>
          <w:shd w:val="clear" w:color="auto" w:fill="FFFFFF"/>
        </w:rPr>
        <w:t>.</w:t>
      </w:r>
    </w:p>
    <w:p w14:paraId="2113AA3C" w14:textId="77777777" w:rsidR="00266958" w:rsidRPr="00D80B4A" w:rsidRDefault="00266958" w:rsidP="00D80B4A">
      <w:pPr>
        <w:pStyle w:val="Sansinterligne"/>
        <w:jc w:val="both"/>
        <w:rPr>
          <w:rFonts w:cstheme="minorHAnsi"/>
          <w:sz w:val="24"/>
          <w:szCs w:val="24"/>
        </w:rPr>
      </w:pPr>
    </w:p>
    <w:p w14:paraId="0A76EFF2" w14:textId="77777777" w:rsidR="002A0AAC" w:rsidRDefault="002A0AAC" w:rsidP="002A0AAC">
      <w:pPr>
        <w:pStyle w:val="Sansinterligne"/>
        <w:rPr>
          <w:b/>
          <w:bCs/>
          <w:sz w:val="24"/>
          <w:szCs w:val="24"/>
          <w:u w:val="single"/>
        </w:rPr>
      </w:pPr>
    </w:p>
    <w:p w14:paraId="62F30C36" w14:textId="77777777" w:rsidR="00E60380" w:rsidRDefault="00E60380" w:rsidP="002A0AAC">
      <w:pPr>
        <w:pStyle w:val="Sansinterligne"/>
        <w:rPr>
          <w:b/>
          <w:bCs/>
          <w:sz w:val="24"/>
          <w:szCs w:val="24"/>
          <w:u w:val="single"/>
        </w:rPr>
      </w:pPr>
    </w:p>
    <w:p w14:paraId="25E7C85F" w14:textId="77777777" w:rsidR="00E60380" w:rsidRPr="002A0AAC" w:rsidRDefault="00E60380" w:rsidP="002A0AAC">
      <w:pPr>
        <w:pStyle w:val="Sansinterligne"/>
        <w:rPr>
          <w:b/>
          <w:bCs/>
          <w:sz w:val="24"/>
          <w:szCs w:val="24"/>
          <w:u w:val="single"/>
        </w:rPr>
      </w:pPr>
    </w:p>
    <w:p w14:paraId="19C2B4B7" w14:textId="5760C869" w:rsidR="002A0AAC" w:rsidRPr="002A0AAC" w:rsidRDefault="002A0AAC" w:rsidP="002A0AAC">
      <w:pPr>
        <w:pStyle w:val="Sansinterligne"/>
        <w:numPr>
          <w:ilvl w:val="0"/>
          <w:numId w:val="23"/>
        </w:numPr>
        <w:rPr>
          <w:b/>
          <w:bCs/>
          <w:sz w:val="24"/>
          <w:szCs w:val="24"/>
          <w:u w:val="single"/>
        </w:rPr>
      </w:pPr>
      <w:r w:rsidRPr="002A0AAC">
        <w:rPr>
          <w:b/>
          <w:bCs/>
          <w:sz w:val="24"/>
          <w:szCs w:val="24"/>
          <w:u w:val="single"/>
        </w:rPr>
        <w:lastRenderedPageBreak/>
        <w:t>Fin des quasi-ouvrages : REVIREMENT DE JURISPRUDENCE</w:t>
      </w:r>
    </w:p>
    <w:p w14:paraId="021C82F3" w14:textId="77777777" w:rsidR="00A844C2" w:rsidRDefault="00A844C2" w:rsidP="002A0AAC">
      <w:pPr>
        <w:pStyle w:val="Sansinterligne"/>
        <w:rPr>
          <w:sz w:val="24"/>
          <w:szCs w:val="24"/>
        </w:rPr>
      </w:pPr>
    </w:p>
    <w:p w14:paraId="7CA4D832" w14:textId="0CE859C4" w:rsidR="002A0AAC" w:rsidRPr="00F92E74" w:rsidRDefault="00664AF1" w:rsidP="007B77DA">
      <w:pPr>
        <w:pStyle w:val="Sansinterligne"/>
        <w:jc w:val="both"/>
        <w:rPr>
          <w:sz w:val="24"/>
          <w:szCs w:val="24"/>
        </w:rPr>
      </w:pPr>
      <w:r w:rsidRPr="00A844C2">
        <w:rPr>
          <w:b/>
          <w:bCs/>
          <w:sz w:val="24"/>
          <w:szCs w:val="24"/>
          <w:u w:val="single"/>
        </w:rPr>
        <w:t>Cass.civ 3</w:t>
      </w:r>
      <w:r w:rsidRPr="00A844C2">
        <w:rPr>
          <w:b/>
          <w:bCs/>
          <w:sz w:val="24"/>
          <w:szCs w:val="24"/>
          <w:u w:val="single"/>
          <w:vertAlign w:val="superscript"/>
        </w:rPr>
        <w:t>ème</w:t>
      </w:r>
      <w:r w:rsidRPr="00A844C2">
        <w:rPr>
          <w:b/>
          <w:bCs/>
          <w:sz w:val="24"/>
          <w:szCs w:val="24"/>
          <w:u w:val="single"/>
        </w:rPr>
        <w:t xml:space="preserve">, </w:t>
      </w:r>
      <w:r w:rsidR="00A844C2" w:rsidRPr="00A844C2">
        <w:rPr>
          <w:b/>
          <w:bCs/>
          <w:sz w:val="24"/>
          <w:szCs w:val="24"/>
          <w:u w:val="single"/>
        </w:rPr>
        <w:t>21 mars 2024, n°22-18.694</w:t>
      </w:r>
      <w:r w:rsidR="00A844C2">
        <w:rPr>
          <w:b/>
          <w:bCs/>
          <w:sz w:val="24"/>
          <w:szCs w:val="24"/>
          <w:u w:val="single"/>
        </w:rPr>
        <w:t> :</w:t>
      </w:r>
      <w:r w:rsidR="00F92E74">
        <w:rPr>
          <w:b/>
          <w:bCs/>
          <w:sz w:val="24"/>
          <w:szCs w:val="24"/>
          <w:u w:val="single"/>
        </w:rPr>
        <w:t xml:space="preserve"> </w:t>
      </w:r>
      <w:r w:rsidR="00F92E74">
        <w:rPr>
          <w:sz w:val="24"/>
          <w:szCs w:val="24"/>
        </w:rPr>
        <w:t xml:space="preserve">Les dysfonctionnements affectant des éléments d’équipement </w:t>
      </w:r>
      <w:r w:rsidR="00AE44DE">
        <w:rPr>
          <w:sz w:val="24"/>
          <w:szCs w:val="24"/>
        </w:rPr>
        <w:t>dissociables</w:t>
      </w:r>
      <w:r w:rsidR="00370867">
        <w:rPr>
          <w:sz w:val="24"/>
          <w:szCs w:val="24"/>
        </w:rPr>
        <w:t xml:space="preserve"> </w:t>
      </w:r>
      <w:r w:rsidR="00AE44DE">
        <w:rPr>
          <w:sz w:val="24"/>
          <w:szCs w:val="24"/>
        </w:rPr>
        <w:t xml:space="preserve">et </w:t>
      </w:r>
      <w:r w:rsidR="00370867">
        <w:rPr>
          <w:sz w:val="24"/>
          <w:szCs w:val="24"/>
        </w:rPr>
        <w:t xml:space="preserve">qui </w:t>
      </w:r>
      <w:r w:rsidR="00AE44DE">
        <w:rPr>
          <w:sz w:val="24"/>
          <w:szCs w:val="24"/>
        </w:rPr>
        <w:t>ne constituant pas un ouvrage</w:t>
      </w:r>
      <w:r w:rsidR="00370867">
        <w:rPr>
          <w:sz w:val="24"/>
          <w:szCs w:val="24"/>
        </w:rPr>
        <w:t xml:space="preserve"> au sens de l’article 1792 du Code civil relèvent exclusivement de la responsabilité contractuelle de droit commun et cela </w:t>
      </w:r>
      <w:r w:rsidR="007B77DA">
        <w:rPr>
          <w:sz w:val="24"/>
          <w:szCs w:val="24"/>
        </w:rPr>
        <w:t>quel que</w:t>
      </w:r>
      <w:r w:rsidR="00370867">
        <w:rPr>
          <w:sz w:val="24"/>
          <w:szCs w:val="24"/>
        </w:rPr>
        <w:t xml:space="preserve"> soit l’importance de ces dysfonctionnements</w:t>
      </w:r>
      <w:r w:rsidR="00BD4C89">
        <w:rPr>
          <w:sz w:val="24"/>
          <w:szCs w:val="24"/>
        </w:rPr>
        <w:t>.</w:t>
      </w:r>
    </w:p>
    <w:p w14:paraId="7D57F6D5" w14:textId="77777777" w:rsidR="00A844C2" w:rsidRDefault="00A844C2" w:rsidP="002A0AAC">
      <w:pPr>
        <w:pStyle w:val="Sansinterligne"/>
        <w:rPr>
          <w:b/>
          <w:bCs/>
          <w:sz w:val="24"/>
          <w:szCs w:val="24"/>
          <w:u w:val="single"/>
        </w:rPr>
      </w:pPr>
    </w:p>
    <w:p w14:paraId="44333970" w14:textId="77777777" w:rsidR="001910FE" w:rsidRDefault="00A55C03" w:rsidP="00731FCC">
      <w:pPr>
        <w:pStyle w:val="Sansinterligne"/>
        <w:jc w:val="both"/>
        <w:rPr>
          <w:i/>
          <w:iCs/>
          <w:shd w:val="clear" w:color="auto" w:fill="FFFFFF"/>
        </w:rPr>
      </w:pPr>
      <w:r w:rsidRPr="001910FE">
        <w:rPr>
          <w:rStyle w:val="CitationCar"/>
          <w:color w:val="auto"/>
        </w:rPr>
        <w:t>« Vu les articles 1792, 1792-2 et 1792-3 du code civil :</w:t>
      </w:r>
      <w:r w:rsidRPr="001910FE">
        <w:rPr>
          <w:rStyle w:val="CitationCar"/>
          <w:color w:val="auto"/>
        </w:rPr>
        <w:br/>
      </w:r>
      <w:r w:rsidRPr="001910FE">
        <w:rPr>
          <w:i/>
          <w:iCs/>
        </w:rPr>
        <w:br/>
      </w:r>
      <w:r w:rsidRPr="00A55C03">
        <w:rPr>
          <w:i/>
          <w:iCs/>
          <w:shd w:val="clear" w:color="auto" w:fill="FFFFFF"/>
        </w:rPr>
        <w:t>6. Aux termes du premier de ces textes, tout constructeur d'un ouvrage est responsable de plein droit, envers le maître ou l'acquéreur de l'ouvrage, des dommages, même résultant d'un vice du sol, qui compromettent la solidité de l'ouvrage ou qui, l'affectant dans l'un de ses éléments constitutifs ou l'un de ses éléments d'équipement, le rendent impropre à sa destination. Une telle responsabilité n'a point lieu si le constructeur prouve que les dommages proviennent d'une cause étrangère.</w:t>
      </w:r>
      <w:r w:rsidRPr="00A55C03">
        <w:rPr>
          <w:i/>
          <w:iCs/>
        </w:rPr>
        <w:br/>
      </w:r>
      <w:r w:rsidRPr="00A55C03">
        <w:rPr>
          <w:i/>
          <w:iCs/>
        </w:rPr>
        <w:br/>
      </w:r>
      <w:r w:rsidRPr="00A55C03">
        <w:rPr>
          <w:i/>
          <w:iCs/>
          <w:shd w:val="clear" w:color="auto" w:fill="FFFFFF"/>
        </w:rPr>
        <w:t>7. Aux termes du deuxième, la présomption de responsabilité établie par l'article 1792 s'étend également aux dommages qui affectent la solidité des éléments d'équipement d'un bâtiment, mais seulement lorsque ceux-ci font indissociablement corps avec les ouvrages de viabilité, de fondation, d'ossature, de clos ou de couvert. Un élément d'équipement est considéré comme formant indissociablement corps avec l'un des ouvrages lorsque sa dépose, son démontage ou son remplacement ne peut s'effectuer sans détérioration ou enlèvement de matière de cet ouvrage.</w:t>
      </w:r>
      <w:r w:rsidRPr="00A55C03">
        <w:rPr>
          <w:i/>
          <w:iCs/>
        </w:rPr>
        <w:br/>
      </w:r>
      <w:r w:rsidRPr="00A55C03">
        <w:rPr>
          <w:i/>
          <w:iCs/>
        </w:rPr>
        <w:br/>
      </w:r>
      <w:r w:rsidRPr="00A55C03">
        <w:rPr>
          <w:i/>
          <w:iCs/>
          <w:shd w:val="clear" w:color="auto" w:fill="FFFFFF"/>
        </w:rPr>
        <w:t>8. Aux termes du troisième, les autres éléments d'équipement de l'ouvrage font l'objet d'une garantie de bon fonctionnement d'une durée minimale de deux ans à compter de sa réception.</w:t>
      </w:r>
      <w:r w:rsidRPr="00A55C03">
        <w:rPr>
          <w:i/>
          <w:iCs/>
        </w:rPr>
        <w:br/>
      </w:r>
      <w:r w:rsidRPr="00A55C03">
        <w:rPr>
          <w:i/>
          <w:iCs/>
        </w:rPr>
        <w:br/>
      </w:r>
      <w:r w:rsidRPr="00A55C03">
        <w:rPr>
          <w:i/>
          <w:iCs/>
          <w:shd w:val="clear" w:color="auto" w:fill="FFFFFF"/>
        </w:rPr>
        <w:t xml:space="preserve">9. Alors qu'il était jugé antérieurement, en application de ces textes, que l'impropriété à destination de l'ouvrage, provoquée par les dysfonctionnements d'un élément d'équipement adjoint à la construction existante, ne relevait pas de la garantie décennale des constructeurs, la Cour de cassation juge, depuis l'année 2017, que les désordres affectant des éléments d'équipement, dissociables ou non, d'origine ou installés sur existant, relèvent de la responsabilité décennale lorsqu'ils rendent l'ouvrage dans son ensemble impropre à sa destination </w:t>
      </w:r>
    </w:p>
    <w:p w14:paraId="236CD479" w14:textId="77777777" w:rsidR="007B77DA" w:rsidRDefault="00A55C03" w:rsidP="00731FCC">
      <w:pPr>
        <w:pStyle w:val="Sansinterligne"/>
        <w:jc w:val="both"/>
        <w:rPr>
          <w:i/>
          <w:iCs/>
          <w:shd w:val="clear" w:color="auto" w:fill="FFFFFF"/>
        </w:rPr>
      </w:pPr>
      <w:r w:rsidRPr="00A55C03">
        <w:rPr>
          <w:i/>
          <w:iCs/>
          <w:shd w:val="clear" w:color="auto" w:fill="FFFFFF"/>
        </w:rPr>
        <w:t>(</w:t>
      </w:r>
      <w:r w:rsidRPr="001910FE">
        <w:t>3e Civ., 15 juin 2017, pourvoi n° 16-19.640; 3e Civ., 14 septembre 2017, pourvoi n° 16-17.323).</w:t>
      </w:r>
      <w:r w:rsidRPr="00A55C03">
        <w:rPr>
          <w:i/>
          <w:iCs/>
        </w:rPr>
        <w:br/>
      </w:r>
      <w:r w:rsidRPr="00A55C03">
        <w:rPr>
          <w:i/>
          <w:iCs/>
        </w:rPr>
        <w:br/>
      </w:r>
      <w:r w:rsidRPr="00A55C03">
        <w:rPr>
          <w:i/>
          <w:iCs/>
          <w:shd w:val="clear" w:color="auto" w:fill="FFFFFF"/>
        </w:rPr>
        <w:t>10. Elle a, également, écarté l'application de l'</w:t>
      </w:r>
      <w:r w:rsidRPr="00A55C03">
        <w:rPr>
          <w:rStyle w:val="m-data-visa"/>
          <w:rFonts w:cstheme="minorHAnsi"/>
          <w:i/>
          <w:iCs/>
          <w:sz w:val="24"/>
          <w:szCs w:val="24"/>
          <w:bdr w:val="none" w:sz="0" w:space="0" w:color="auto" w:frame="1"/>
          <w:shd w:val="clear" w:color="auto" w:fill="FFFFFF"/>
        </w:rPr>
        <w:t>article L. 243-1-1, II, du code des assurances</w:t>
      </w:r>
      <w:r w:rsidRPr="00A55C03">
        <w:rPr>
          <w:i/>
          <w:iCs/>
          <w:shd w:val="clear" w:color="auto" w:fill="FFFFFF"/>
        </w:rPr>
        <w:t>, selon lequel les obligations d'assurance des constructeurs ne sont pas applicables aux ouvrages existants avant l'ouverture du chantier, à l'exception de ceux qui, totalement incorporés dans l'ouvrage neuf, en deviennent techniquement indivisibles, lorsque les désordres affectant l'élément d'équipement installé sur existant rendaient l'ouvrage, dans son ensemble, impropre à sa destination</w:t>
      </w:r>
    </w:p>
    <w:p w14:paraId="0838BF92" w14:textId="2DF8233E" w:rsidR="00A844C2" w:rsidRPr="00A55C03" w:rsidRDefault="00A55C03" w:rsidP="00731FCC">
      <w:pPr>
        <w:pStyle w:val="Sansinterligne"/>
        <w:jc w:val="both"/>
        <w:rPr>
          <w:b/>
          <w:bCs/>
          <w:i/>
          <w:iCs/>
          <w:u w:val="single"/>
        </w:rPr>
      </w:pPr>
      <w:r w:rsidRPr="00A55C03">
        <w:rPr>
          <w:i/>
          <w:iCs/>
          <w:shd w:val="clear" w:color="auto" w:fill="FFFFFF"/>
        </w:rPr>
        <w:t xml:space="preserve"> </w:t>
      </w:r>
      <w:r w:rsidRPr="001910FE">
        <w:t>(3e Civ., 26 octobre 2017, pourvoi n° 16-18.120).</w:t>
      </w:r>
      <w:r w:rsidRPr="001910FE">
        <w:br/>
      </w:r>
      <w:r w:rsidRPr="00A55C03">
        <w:rPr>
          <w:i/>
          <w:iCs/>
        </w:rPr>
        <w:br/>
      </w:r>
      <w:r w:rsidRPr="00A55C03">
        <w:rPr>
          <w:i/>
          <w:iCs/>
          <w:shd w:val="clear" w:color="auto" w:fill="FFFFFF"/>
        </w:rPr>
        <w:t>11. Ce revirement de jurisprudence poursuivait, en premier lieu, un objectif de simplification en ne distinguant plus selon que l'élément d'équipement était d'origine ou seulement adjoint à l'existant, lorsque les dommages l'affectant rendaient l'ouvrage en lui-même impropre à sa destination.</w:t>
      </w:r>
      <w:r w:rsidRPr="00A55C03">
        <w:rPr>
          <w:i/>
          <w:iCs/>
        </w:rPr>
        <w:br/>
      </w:r>
      <w:r w:rsidRPr="00A55C03">
        <w:rPr>
          <w:i/>
          <w:iCs/>
        </w:rPr>
        <w:br/>
      </w:r>
      <w:r w:rsidRPr="00A55C03">
        <w:rPr>
          <w:i/>
          <w:iCs/>
          <w:shd w:val="clear" w:color="auto" w:fill="FFFFFF"/>
        </w:rPr>
        <w:t>12. Il visait, en second lieu, à assurer une meilleure protection des maîtres de l'ouvrage, réalisant plus fréquemment des travaux de rénovation ou d'amélioration de l'habitat existant.</w:t>
      </w:r>
      <w:r w:rsidRPr="00A55C03">
        <w:rPr>
          <w:i/>
          <w:iCs/>
        </w:rPr>
        <w:br/>
      </w:r>
      <w:r w:rsidRPr="00A55C03">
        <w:rPr>
          <w:i/>
          <w:iCs/>
        </w:rPr>
        <w:br/>
      </w:r>
      <w:r w:rsidRPr="00A55C03">
        <w:rPr>
          <w:i/>
          <w:iCs/>
          <w:shd w:val="clear" w:color="auto" w:fill="FFFFFF"/>
        </w:rPr>
        <w:t>13. Ces objectifs n'ont, toutefois, pas été atteints.</w:t>
      </w:r>
      <w:r w:rsidRPr="00A55C03">
        <w:rPr>
          <w:i/>
          <w:iCs/>
        </w:rPr>
        <w:br/>
      </w:r>
      <w:r w:rsidRPr="00A55C03">
        <w:rPr>
          <w:i/>
          <w:iCs/>
        </w:rPr>
        <w:br/>
      </w:r>
      <w:r w:rsidRPr="00A55C03">
        <w:rPr>
          <w:i/>
          <w:iCs/>
          <w:shd w:val="clear" w:color="auto" w:fill="FFFFFF"/>
        </w:rPr>
        <w:t xml:space="preserve">14. D'une part, la Cour de cassation a été conduite à préciser la portée de ces règles. Ainsi, il a été jugé que les désordres affectant un élément d'équipement adjoint à l'existant et rendant l'ouvrage impropre </w:t>
      </w:r>
      <w:r w:rsidRPr="00A55C03">
        <w:rPr>
          <w:i/>
          <w:iCs/>
          <w:shd w:val="clear" w:color="auto" w:fill="FFFFFF"/>
        </w:rPr>
        <w:lastRenderedPageBreak/>
        <w:t xml:space="preserve">à sa destination ne relevaient de la responsabilité décennale des constructeurs que lorsqu'ils trouvaient leur siège dans un élément d'équipement au sens de l'article 1792-3 du code civil, c'est-à-dire un élément destiné à fonctionner </w:t>
      </w:r>
      <w:r w:rsidRPr="001910FE">
        <w:t>(3e Civ., 13 juillet 2022, pourvoi n° 19-20.231).</w:t>
      </w:r>
      <w:r w:rsidRPr="00A55C03">
        <w:rPr>
          <w:i/>
          <w:iCs/>
        </w:rPr>
        <w:br/>
      </w:r>
      <w:r w:rsidRPr="00A55C03">
        <w:rPr>
          <w:i/>
          <w:iCs/>
        </w:rPr>
        <w:br/>
      </w:r>
      <w:r w:rsidRPr="00A55C03">
        <w:rPr>
          <w:i/>
          <w:iCs/>
          <w:shd w:val="clear" w:color="auto" w:fill="FFFFFF"/>
        </w:rPr>
        <w:t>15. La distinction ainsi établie a abouti à multiplier les qualifications attachées aux éléments d'équipement et les régimes de responsabilité qui leur sont applicables, au risque d'exclure des garanties légales du constructeur les dommages causés par les éléments d'équipement d'origine.</w:t>
      </w:r>
      <w:r w:rsidRPr="00A55C03">
        <w:rPr>
          <w:i/>
          <w:iCs/>
        </w:rPr>
        <w:br/>
      </w:r>
      <w:r w:rsidRPr="00A55C03">
        <w:rPr>
          <w:i/>
          <w:iCs/>
        </w:rPr>
        <w:br/>
      </w:r>
      <w:r w:rsidRPr="00A55C03">
        <w:rPr>
          <w:i/>
          <w:iCs/>
          <w:shd w:val="clear" w:color="auto" w:fill="FFFFFF"/>
        </w:rPr>
        <w:t>16. D'autre part, il ressort des consultations entreprises auprès de plusieurs acteurs du secteur (France assureurs, Fédération nationale des travaux publics, Confédération de l'artisanat et des petites entreprises du bâtiment, Fédération française du bâtiment, Institut national de la consommation) que les installateurs d'éléments d'équipement susceptibles de relever de la garantie décennale ne souscrivent pas plus qu'auparavant à l'assurance obligatoire des constructeurs.</w:t>
      </w:r>
      <w:r w:rsidRPr="00A55C03">
        <w:rPr>
          <w:i/>
          <w:iCs/>
        </w:rPr>
        <w:br/>
      </w:r>
      <w:r w:rsidRPr="00E040F1">
        <w:br/>
        <w:t>17. La jurisprudence initiée en 2017 ne s'est donc pas traduite par une protection accrue des maîtres de l'ouvrage ou une meilleure indemnisation que celle dont ils pouvaient déjà bénéficier au titre d'autres garanties d'assurance.</w:t>
      </w:r>
      <w:r w:rsidRPr="00E040F1">
        <w:br/>
      </w:r>
      <w:r w:rsidRPr="00E040F1">
        <w:br/>
      </w:r>
      <w:r w:rsidRPr="00731FCC">
        <w:rPr>
          <w:b/>
          <w:bCs/>
          <w:i/>
          <w:iCs/>
          <w:shd w:val="clear" w:color="auto" w:fill="FFFFFF"/>
        </w:rPr>
        <w:t>18. C'est pourquoi il apparaît nécessaire de renoncer à cette jurisprudence et de juger que, si les éléments d'équipement installés en remplacement ou par adjonction sur un ouvrage existant ne constituent pas en eux-mêmes un ouvrage, ils ne relèvent ni de la garantie décennale ni de la garantie biennale de bon fonctionnement, quel que soit le degré de gravité des désordres, mais de la responsabilité contractuelle de droit commun, non soumise à l'assurance obligatoire des constructeurs.</w:t>
      </w:r>
      <w:r w:rsidRPr="00731FCC">
        <w:rPr>
          <w:b/>
          <w:bCs/>
          <w:i/>
          <w:iCs/>
        </w:rPr>
        <w:br/>
      </w:r>
      <w:r w:rsidRPr="00A55C03">
        <w:rPr>
          <w:i/>
          <w:iCs/>
        </w:rPr>
        <w:br/>
      </w:r>
      <w:r w:rsidRPr="00A55C03">
        <w:rPr>
          <w:i/>
          <w:iCs/>
          <w:shd w:val="clear" w:color="auto" w:fill="FFFFFF"/>
        </w:rPr>
        <w:t>19. La jurisprudence nouvelle s'applique à l'instance en cours, dès lors qu'elle ne porte pas d'atteinte disproportionnée à la sécurité juridique ni au droit d'accès au juge.</w:t>
      </w:r>
      <w:r w:rsidRPr="00A55C03">
        <w:rPr>
          <w:i/>
          <w:iCs/>
        </w:rPr>
        <w:br/>
      </w:r>
      <w:r w:rsidRPr="00A55C03">
        <w:rPr>
          <w:i/>
          <w:iCs/>
        </w:rPr>
        <w:br/>
      </w:r>
      <w:r w:rsidRPr="00A55C03">
        <w:rPr>
          <w:i/>
          <w:iCs/>
          <w:shd w:val="clear" w:color="auto" w:fill="FFFFFF"/>
        </w:rPr>
        <w:t>20. Pour condamner in solidum la société L'Univers de la cheminée et la société Axa sur le fondement de la garantie décennale, l'arrêt énonce que les désordres affectant des éléments d'équipement, dissociables ou non, d'origine ou installés sur existant, relèvent de la responsabilité décennale lorsqu'ils rendent l'ouvrage dans son ensemble impropre à sa destination, puis retient que le désordre affectant l'insert de cheminée a causé un incendie ayant intégralement détruit l'habitation.</w:t>
      </w:r>
      <w:r w:rsidRPr="00A55C03">
        <w:rPr>
          <w:i/>
          <w:iCs/>
        </w:rPr>
        <w:br/>
      </w:r>
      <w:r w:rsidRPr="00A55C03">
        <w:rPr>
          <w:i/>
          <w:iCs/>
        </w:rPr>
        <w:br/>
      </w:r>
      <w:r w:rsidRPr="00A55C03">
        <w:rPr>
          <w:i/>
          <w:iCs/>
          <w:shd w:val="clear" w:color="auto" w:fill="FFFFFF"/>
        </w:rPr>
        <w:t>21. En statuant ainsi, la cour d'appel a violé les textes susvisés</w:t>
      </w:r>
      <w:r w:rsidR="00731FCC">
        <w:rPr>
          <w:i/>
          <w:iCs/>
          <w:shd w:val="clear" w:color="auto" w:fill="FFFFFF"/>
        </w:rPr>
        <w:t> »</w:t>
      </w:r>
      <w:r w:rsidRPr="00A55C03">
        <w:rPr>
          <w:i/>
          <w:iCs/>
          <w:shd w:val="clear" w:color="auto" w:fill="FFFFFF"/>
        </w:rPr>
        <w:t>.</w:t>
      </w:r>
    </w:p>
    <w:p w14:paraId="458B52CA" w14:textId="77777777" w:rsidR="007E1B05" w:rsidRDefault="007E1B05" w:rsidP="00E57E32">
      <w:pPr>
        <w:jc w:val="both"/>
      </w:pPr>
    </w:p>
    <w:p w14:paraId="2AD231B6" w14:textId="7E688C09" w:rsidR="00673EF1" w:rsidRPr="00E534E2" w:rsidRDefault="00673EF1" w:rsidP="00673EF1">
      <w:pPr>
        <w:pBdr>
          <w:bottom w:val="single" w:sz="4" w:space="1" w:color="auto"/>
        </w:pBdr>
        <w:rPr>
          <w:rFonts w:ascii="Arial Black" w:hAnsi="Arial Black"/>
        </w:rPr>
      </w:pPr>
      <w:r>
        <w:rPr>
          <w:rFonts w:ascii="Arial Black" w:hAnsi="Arial Black"/>
        </w:rPr>
        <w:t>II – ASSURANCES-CONSTRUCTION</w:t>
      </w:r>
    </w:p>
    <w:p w14:paraId="47D833E8" w14:textId="77777777" w:rsidR="00266958" w:rsidRDefault="00266958" w:rsidP="00266958">
      <w:pPr>
        <w:pStyle w:val="Paragraphedeliste"/>
        <w:jc w:val="both"/>
        <w:rPr>
          <w:b/>
          <w:bCs/>
          <w:sz w:val="24"/>
          <w:szCs w:val="24"/>
          <w:u w:val="single"/>
        </w:rPr>
      </w:pPr>
    </w:p>
    <w:p w14:paraId="13224561" w14:textId="0ABE7697" w:rsidR="00673EF1" w:rsidRPr="00241028" w:rsidRDefault="00DA5D8B" w:rsidP="00DA5D8B">
      <w:pPr>
        <w:pStyle w:val="Paragraphedeliste"/>
        <w:numPr>
          <w:ilvl w:val="0"/>
          <w:numId w:val="23"/>
        </w:numPr>
        <w:jc w:val="both"/>
        <w:rPr>
          <w:b/>
          <w:bCs/>
          <w:sz w:val="24"/>
          <w:szCs w:val="24"/>
          <w:u w:val="single"/>
        </w:rPr>
      </w:pPr>
      <w:r w:rsidRPr="00241028">
        <w:rPr>
          <w:b/>
          <w:bCs/>
          <w:sz w:val="24"/>
          <w:szCs w:val="24"/>
          <w:u w:val="single"/>
        </w:rPr>
        <w:t>L’action directe du tiers contre l’assureur du responsable : condition de mise en œuvre</w:t>
      </w:r>
    </w:p>
    <w:p w14:paraId="17882F4F" w14:textId="58D236E3" w:rsidR="00DA5D8B" w:rsidRPr="00A1039E" w:rsidRDefault="00DA5D8B" w:rsidP="00DA5D8B">
      <w:pPr>
        <w:jc w:val="both"/>
        <w:rPr>
          <w:sz w:val="24"/>
          <w:szCs w:val="24"/>
        </w:rPr>
      </w:pPr>
      <w:r w:rsidRPr="00241028">
        <w:rPr>
          <w:b/>
          <w:bCs/>
          <w:sz w:val="24"/>
          <w:szCs w:val="24"/>
          <w:u w:val="single"/>
        </w:rPr>
        <w:t>Cass.civ 3</w:t>
      </w:r>
      <w:r w:rsidRPr="00241028">
        <w:rPr>
          <w:b/>
          <w:bCs/>
          <w:sz w:val="24"/>
          <w:szCs w:val="24"/>
          <w:u w:val="single"/>
          <w:vertAlign w:val="superscript"/>
        </w:rPr>
        <w:t>ème</w:t>
      </w:r>
      <w:r w:rsidRPr="00241028">
        <w:rPr>
          <w:b/>
          <w:bCs/>
          <w:sz w:val="24"/>
          <w:szCs w:val="24"/>
          <w:u w:val="single"/>
        </w:rPr>
        <w:t>,</w:t>
      </w:r>
      <w:r w:rsidR="00105D6F" w:rsidRPr="00241028">
        <w:rPr>
          <w:b/>
          <w:bCs/>
          <w:sz w:val="24"/>
          <w:szCs w:val="24"/>
          <w:u w:val="single"/>
        </w:rPr>
        <w:t xml:space="preserve"> 1</w:t>
      </w:r>
      <w:r w:rsidR="00105D6F" w:rsidRPr="00241028">
        <w:rPr>
          <w:b/>
          <w:bCs/>
          <w:sz w:val="24"/>
          <w:szCs w:val="24"/>
          <w:u w:val="single"/>
          <w:vertAlign w:val="superscript"/>
        </w:rPr>
        <w:t>er</w:t>
      </w:r>
      <w:r w:rsidR="00105D6F" w:rsidRPr="00241028">
        <w:rPr>
          <w:b/>
          <w:bCs/>
          <w:sz w:val="24"/>
          <w:szCs w:val="24"/>
          <w:u w:val="single"/>
        </w:rPr>
        <w:t xml:space="preserve"> février 2024 :</w:t>
      </w:r>
      <w:r w:rsidR="00105D6F" w:rsidRPr="00A1039E">
        <w:rPr>
          <w:sz w:val="24"/>
          <w:szCs w:val="24"/>
        </w:rPr>
        <w:t xml:space="preserve"> La recevabilité de l’action contre l’assureur n’est pas </w:t>
      </w:r>
      <w:r w:rsidR="00B63914" w:rsidRPr="00A1039E">
        <w:rPr>
          <w:sz w:val="24"/>
          <w:szCs w:val="24"/>
        </w:rPr>
        <w:t>subordonnée à la mise en cause de l’assuré.</w:t>
      </w:r>
    </w:p>
    <w:p w14:paraId="0762B805" w14:textId="43662244" w:rsidR="008F7E22" w:rsidRPr="00A1039E" w:rsidRDefault="008F7E22" w:rsidP="00241028">
      <w:pPr>
        <w:pStyle w:val="Sansinterligne"/>
        <w:pBdr>
          <w:bottom w:val="single" w:sz="4" w:space="1" w:color="auto"/>
        </w:pBdr>
        <w:ind w:left="1701"/>
        <w:rPr>
          <w:rFonts w:cstheme="minorHAnsi"/>
          <w:b/>
          <w:bCs/>
          <w:sz w:val="24"/>
          <w:szCs w:val="24"/>
        </w:rPr>
      </w:pPr>
      <w:r w:rsidRPr="00A1039E">
        <w:rPr>
          <w:rFonts w:cstheme="minorHAnsi"/>
          <w:b/>
          <w:bCs/>
          <w:sz w:val="24"/>
          <w:szCs w:val="24"/>
        </w:rPr>
        <w:t>Voir en ce sens :</w:t>
      </w:r>
    </w:p>
    <w:p w14:paraId="103206D7" w14:textId="6A3D1FA6" w:rsidR="00781EE4" w:rsidRPr="00A1039E" w:rsidRDefault="00000000" w:rsidP="001169CD">
      <w:pPr>
        <w:pStyle w:val="Sansinterligne"/>
        <w:ind w:left="1701"/>
        <w:rPr>
          <w:rFonts w:eastAsia="Kalinga" w:cstheme="minorHAnsi"/>
          <w:b/>
          <w:bCs/>
          <w:sz w:val="24"/>
          <w:szCs w:val="24"/>
        </w:rPr>
      </w:pPr>
      <w:hyperlink r:id="rId9" w:history="1">
        <w:r w:rsidR="00781EE4" w:rsidRPr="00A1039E">
          <w:rPr>
            <w:rStyle w:val="Lienhypertexte"/>
            <w:rFonts w:eastAsia="Kalinga" w:cstheme="minorHAnsi"/>
            <w:b/>
            <w:bCs/>
            <w:color w:val="auto"/>
            <w:sz w:val="24"/>
            <w:szCs w:val="24"/>
            <w:u w:val="none"/>
          </w:rPr>
          <w:t>Cass.civ 3</w:t>
        </w:r>
        <w:r w:rsidR="00781EE4" w:rsidRPr="00A1039E">
          <w:rPr>
            <w:rStyle w:val="Lienhypertexte"/>
            <w:rFonts w:eastAsia="Kalinga" w:cstheme="minorHAnsi"/>
            <w:b/>
            <w:bCs/>
            <w:color w:val="auto"/>
            <w:sz w:val="24"/>
            <w:szCs w:val="24"/>
            <w:u w:val="none"/>
            <w:vertAlign w:val="superscript"/>
          </w:rPr>
          <w:t>ème</w:t>
        </w:r>
        <w:r w:rsidR="00781EE4" w:rsidRPr="00A1039E">
          <w:rPr>
            <w:rStyle w:val="Lienhypertexte"/>
            <w:rFonts w:eastAsia="Kalinga" w:cstheme="minorHAnsi"/>
            <w:b/>
            <w:bCs/>
            <w:color w:val="auto"/>
            <w:sz w:val="24"/>
            <w:szCs w:val="24"/>
            <w:u w:val="none"/>
          </w:rPr>
          <w:t xml:space="preserve"> du 11 mai 2022, n°21-12.478 </w:t>
        </w:r>
      </w:hyperlink>
      <w:r w:rsidR="00781EE4" w:rsidRPr="00A1039E">
        <w:rPr>
          <w:rFonts w:eastAsia="Kalinga" w:cstheme="minorHAnsi"/>
          <w:b/>
          <w:bCs/>
          <w:sz w:val="24"/>
          <w:szCs w:val="24"/>
        </w:rPr>
        <w:t>:</w:t>
      </w:r>
    </w:p>
    <w:p w14:paraId="74195040" w14:textId="0A289D31" w:rsidR="00A948F4" w:rsidRPr="00A1039E" w:rsidRDefault="00A948F4" w:rsidP="001169CD">
      <w:pPr>
        <w:pStyle w:val="Sansinterligne"/>
        <w:ind w:left="1701"/>
        <w:rPr>
          <w:rFonts w:eastAsia="Kalinga" w:cstheme="minorHAnsi"/>
          <w:b/>
          <w:bCs/>
          <w:sz w:val="24"/>
          <w:szCs w:val="24"/>
        </w:rPr>
      </w:pPr>
      <w:r w:rsidRPr="00A1039E">
        <w:rPr>
          <w:rFonts w:eastAsia="Kalinga" w:cstheme="minorHAnsi"/>
          <w:b/>
          <w:bCs/>
          <w:i/>
          <w:iCs/>
          <w:sz w:val="24"/>
          <w:szCs w:val="24"/>
        </w:rPr>
        <w:t>Cass. civ. 3, 15 mai 2002, n° 00-18.541,</w:t>
      </w:r>
    </w:p>
    <w:p w14:paraId="37879422" w14:textId="674AA182" w:rsidR="001E5766" w:rsidRPr="00A1039E" w:rsidRDefault="001E5766" w:rsidP="001169CD">
      <w:pPr>
        <w:pStyle w:val="Sansinterligne"/>
        <w:ind w:left="1701"/>
        <w:rPr>
          <w:rFonts w:eastAsia="Kalinga" w:cstheme="minorHAnsi"/>
          <w:b/>
          <w:bCs/>
          <w:i/>
          <w:iCs/>
          <w:sz w:val="24"/>
          <w:szCs w:val="24"/>
        </w:rPr>
      </w:pPr>
      <w:r w:rsidRPr="00A1039E">
        <w:rPr>
          <w:rFonts w:eastAsia="Kalinga" w:cstheme="minorHAnsi"/>
          <w:b/>
          <w:bCs/>
          <w:i/>
          <w:iCs/>
          <w:sz w:val="24"/>
          <w:szCs w:val="24"/>
        </w:rPr>
        <w:t>Cass. civ. 1, 7 novembre 2000, n° 97-22.582</w:t>
      </w:r>
    </w:p>
    <w:p w14:paraId="268F431F" w14:textId="77777777" w:rsidR="00241028" w:rsidRDefault="00241028" w:rsidP="00DA5D8B">
      <w:pPr>
        <w:jc w:val="both"/>
      </w:pPr>
    </w:p>
    <w:p w14:paraId="288716CE" w14:textId="077A693D" w:rsidR="00496F42" w:rsidRPr="00E3136F" w:rsidRDefault="00241028" w:rsidP="00E3136F">
      <w:pPr>
        <w:jc w:val="both"/>
        <w:rPr>
          <w:rFonts w:cstheme="minorHAnsi"/>
          <w:b/>
          <w:bCs/>
          <w:sz w:val="24"/>
          <w:szCs w:val="24"/>
        </w:rPr>
      </w:pPr>
      <w:r w:rsidRPr="00270E77">
        <w:rPr>
          <w:rFonts w:cstheme="minorHAnsi"/>
          <w:b/>
          <w:bCs/>
          <w:sz w:val="24"/>
          <w:szCs w:val="24"/>
        </w:rPr>
        <w:lastRenderedPageBreak/>
        <w:t>P</w:t>
      </w:r>
      <w:r w:rsidR="00D650CC" w:rsidRPr="00270E77">
        <w:rPr>
          <w:rFonts w:cstheme="minorHAnsi"/>
          <w:b/>
          <w:bCs/>
          <w:sz w:val="24"/>
          <w:szCs w:val="24"/>
        </w:rPr>
        <w:t>etit</w:t>
      </w:r>
      <w:r w:rsidRPr="00270E77">
        <w:rPr>
          <w:rFonts w:cstheme="minorHAnsi"/>
          <w:b/>
          <w:bCs/>
          <w:sz w:val="24"/>
          <w:szCs w:val="24"/>
        </w:rPr>
        <w:t xml:space="preserve"> </w:t>
      </w:r>
      <w:r w:rsidR="00D650CC" w:rsidRPr="00270E77">
        <w:rPr>
          <w:rFonts w:cstheme="minorHAnsi"/>
          <w:b/>
          <w:bCs/>
          <w:sz w:val="24"/>
          <w:szCs w:val="24"/>
        </w:rPr>
        <w:t>rappel</w:t>
      </w:r>
      <w:r w:rsidRPr="00270E77">
        <w:rPr>
          <w:rFonts w:cstheme="minorHAnsi"/>
          <w:b/>
          <w:bCs/>
          <w:sz w:val="24"/>
          <w:szCs w:val="24"/>
        </w:rPr>
        <w:t xml:space="preserve"> sur la prescription de l’action directe</w:t>
      </w:r>
      <w:r w:rsidR="00270E77" w:rsidRPr="00270E77">
        <w:rPr>
          <w:rFonts w:cstheme="minorHAnsi"/>
          <w:b/>
          <w:bCs/>
          <w:sz w:val="24"/>
          <w:szCs w:val="24"/>
        </w:rPr>
        <w:t xml:space="preserve"> contre l’assureur du responsable</w:t>
      </w:r>
      <w:r w:rsidR="00E3136F">
        <w:rPr>
          <w:rFonts w:cstheme="minorHAnsi"/>
          <w:b/>
          <w:bCs/>
          <w:sz w:val="24"/>
          <w:szCs w:val="24"/>
        </w:rPr>
        <w:t xml:space="preserve"> : </w:t>
      </w:r>
      <w:r w:rsidR="00496F42" w:rsidRPr="00270E77">
        <w:rPr>
          <w:rFonts w:eastAsia="Kalinga" w:cstheme="minorHAnsi"/>
          <w:b/>
          <w:bCs/>
          <w:sz w:val="24"/>
          <w:szCs w:val="24"/>
          <w:u w:val="single"/>
        </w:rPr>
        <w:t>Cass.civ 3</w:t>
      </w:r>
      <w:r w:rsidR="00496F42" w:rsidRPr="00270E77">
        <w:rPr>
          <w:rFonts w:eastAsia="Kalinga" w:cstheme="minorHAnsi"/>
          <w:b/>
          <w:bCs/>
          <w:sz w:val="24"/>
          <w:szCs w:val="24"/>
          <w:u w:val="single"/>
          <w:vertAlign w:val="superscript"/>
        </w:rPr>
        <w:t>ème</w:t>
      </w:r>
      <w:r w:rsidR="00496F42" w:rsidRPr="00270E77">
        <w:rPr>
          <w:rFonts w:eastAsia="Kalinga" w:cstheme="minorHAnsi"/>
          <w:b/>
          <w:bCs/>
          <w:sz w:val="24"/>
          <w:szCs w:val="24"/>
          <w:u w:val="single"/>
        </w:rPr>
        <w:t>, 14 septembre 2023</w:t>
      </w:r>
      <w:r w:rsidR="00496F42" w:rsidRPr="00270E77">
        <w:rPr>
          <w:rFonts w:eastAsia="Kalinga" w:cstheme="minorHAnsi"/>
          <w:b/>
          <w:bCs/>
          <w:sz w:val="24"/>
          <w:szCs w:val="24"/>
        </w:rPr>
        <w:t xml:space="preserve"> : </w:t>
      </w:r>
      <w:r w:rsidR="00496F42" w:rsidRPr="00270E77">
        <w:rPr>
          <w:rFonts w:eastAsia="Kalinga" w:cstheme="minorHAnsi"/>
          <w:sz w:val="24"/>
          <w:szCs w:val="24"/>
        </w:rPr>
        <w:t>L’action du tiers victime contre l’assureur peut être exercée tant que celui-ci est encore exposé au recours de son assuré</w:t>
      </w:r>
      <w:r w:rsidR="00270E77">
        <w:rPr>
          <w:rFonts w:eastAsia="Kalinga" w:cstheme="minorHAnsi"/>
          <w:sz w:val="24"/>
          <w:szCs w:val="24"/>
        </w:rPr>
        <w:t>.</w:t>
      </w:r>
    </w:p>
    <w:p w14:paraId="6064B8EC" w14:textId="2FEB3A54" w:rsidR="00270E77" w:rsidRDefault="00270E77" w:rsidP="00270E77">
      <w:pPr>
        <w:spacing w:after="0"/>
        <w:jc w:val="both"/>
        <w:rPr>
          <w:rFonts w:eastAsia="Kalinga" w:cstheme="minorHAnsi"/>
          <w:sz w:val="24"/>
          <w:szCs w:val="24"/>
        </w:rPr>
      </w:pPr>
      <w:r>
        <w:rPr>
          <w:rFonts w:eastAsia="Kalinga" w:cstheme="minorHAnsi"/>
          <w:sz w:val="24"/>
          <w:szCs w:val="24"/>
        </w:rPr>
        <w:t>L’action de la victime contre l’assureur de responsabilité, qui obéit, en principe, au même délai de prescription que son action contre le responsable, ne peut être exercée contre l’assureur au-delà de ce délai que tant que celui-ci est encore exposé au recours de son assuré.</w:t>
      </w:r>
    </w:p>
    <w:p w14:paraId="4767DB02" w14:textId="77777777" w:rsidR="00E3136F" w:rsidRDefault="00E3136F" w:rsidP="00270E77">
      <w:pPr>
        <w:spacing w:after="0"/>
        <w:jc w:val="both"/>
        <w:rPr>
          <w:rFonts w:eastAsia="Kalinga" w:cstheme="minorHAnsi"/>
          <w:sz w:val="24"/>
          <w:szCs w:val="24"/>
        </w:rPr>
      </w:pPr>
    </w:p>
    <w:p w14:paraId="7CDA37A8" w14:textId="77777777" w:rsidR="00270E77" w:rsidRDefault="00270E77" w:rsidP="00270E77">
      <w:pPr>
        <w:spacing w:after="0"/>
        <w:jc w:val="both"/>
        <w:rPr>
          <w:rFonts w:eastAsia="Kalinga" w:cstheme="minorHAnsi"/>
          <w:sz w:val="24"/>
          <w:szCs w:val="24"/>
        </w:rPr>
      </w:pPr>
    </w:p>
    <w:p w14:paraId="53D6E87E" w14:textId="0EB2DA6F" w:rsidR="00270E77" w:rsidRPr="00D36558" w:rsidRDefault="00D36558" w:rsidP="00F14DD8">
      <w:pPr>
        <w:pStyle w:val="Paragraphedeliste"/>
        <w:numPr>
          <w:ilvl w:val="0"/>
          <w:numId w:val="23"/>
        </w:numPr>
        <w:spacing w:after="0"/>
        <w:jc w:val="both"/>
        <w:rPr>
          <w:rFonts w:eastAsia="Kalinga" w:cstheme="minorHAnsi"/>
          <w:b/>
          <w:bCs/>
          <w:sz w:val="24"/>
          <w:szCs w:val="24"/>
          <w:u w:val="single"/>
        </w:rPr>
      </w:pPr>
      <w:r w:rsidRPr="00D36558">
        <w:rPr>
          <w:rFonts w:eastAsia="Kalinga" w:cstheme="minorHAnsi"/>
          <w:b/>
          <w:bCs/>
          <w:sz w:val="24"/>
          <w:szCs w:val="24"/>
          <w:u w:val="single"/>
        </w:rPr>
        <w:t>Obligation de garantie de l’assureur condamné in solidum avec son assuré</w:t>
      </w:r>
    </w:p>
    <w:p w14:paraId="0971E4ED" w14:textId="77777777" w:rsidR="00D36558" w:rsidRDefault="00D36558" w:rsidP="00D36558">
      <w:pPr>
        <w:spacing w:after="0"/>
        <w:jc w:val="both"/>
        <w:rPr>
          <w:rFonts w:eastAsia="Kalinga" w:cstheme="minorHAnsi"/>
          <w:sz w:val="24"/>
          <w:szCs w:val="24"/>
        </w:rPr>
      </w:pPr>
    </w:p>
    <w:p w14:paraId="3B486F96" w14:textId="797D7525" w:rsidR="00D36558" w:rsidRDefault="00D36558" w:rsidP="00D36558">
      <w:pPr>
        <w:spacing w:after="0"/>
        <w:jc w:val="both"/>
        <w:rPr>
          <w:rFonts w:cstheme="minorHAnsi"/>
          <w:sz w:val="24"/>
          <w:szCs w:val="24"/>
          <w:shd w:val="clear" w:color="auto" w:fill="FFFFFF"/>
        </w:rPr>
      </w:pPr>
      <w:r w:rsidRPr="00D36558">
        <w:rPr>
          <w:rFonts w:eastAsia="Kalinga" w:cstheme="minorHAnsi"/>
          <w:b/>
          <w:bCs/>
          <w:sz w:val="24"/>
          <w:szCs w:val="24"/>
          <w:u w:val="single"/>
        </w:rPr>
        <w:t>Cass.civ 3</w:t>
      </w:r>
      <w:r w:rsidRPr="00D36558">
        <w:rPr>
          <w:rFonts w:eastAsia="Kalinga" w:cstheme="minorHAnsi"/>
          <w:b/>
          <w:bCs/>
          <w:sz w:val="24"/>
          <w:szCs w:val="24"/>
          <w:u w:val="single"/>
          <w:vertAlign w:val="superscript"/>
        </w:rPr>
        <w:t>ème</w:t>
      </w:r>
      <w:r w:rsidRPr="00D36558">
        <w:rPr>
          <w:rFonts w:eastAsia="Kalinga" w:cstheme="minorHAnsi"/>
          <w:b/>
          <w:bCs/>
          <w:sz w:val="24"/>
          <w:szCs w:val="24"/>
          <w:u w:val="single"/>
        </w:rPr>
        <w:t>, 15 février 2024, n°21-22.457</w:t>
      </w:r>
      <w:r>
        <w:rPr>
          <w:rFonts w:eastAsia="Kalinga" w:cstheme="minorHAnsi"/>
          <w:b/>
          <w:bCs/>
          <w:sz w:val="24"/>
          <w:szCs w:val="24"/>
          <w:u w:val="single"/>
        </w:rPr>
        <w:t> :</w:t>
      </w:r>
      <w:r w:rsidR="0081384A">
        <w:rPr>
          <w:rFonts w:eastAsia="Kalinga" w:cstheme="minorHAnsi"/>
          <w:b/>
          <w:bCs/>
          <w:sz w:val="24"/>
          <w:szCs w:val="24"/>
          <w:u w:val="single"/>
        </w:rPr>
        <w:t xml:space="preserve"> </w:t>
      </w:r>
      <w:r w:rsidR="0081384A" w:rsidRPr="00B20372">
        <w:rPr>
          <w:rFonts w:eastAsia="Kalinga" w:cstheme="minorHAnsi"/>
          <w:sz w:val="24"/>
          <w:szCs w:val="24"/>
        </w:rPr>
        <w:t xml:space="preserve">En application des dispositions des articles </w:t>
      </w:r>
      <w:r w:rsidR="00B20372" w:rsidRPr="00B20372">
        <w:rPr>
          <w:rFonts w:eastAsia="Kalinga" w:cstheme="minorHAnsi"/>
          <w:sz w:val="24"/>
          <w:szCs w:val="24"/>
        </w:rPr>
        <w:t>L.113-5 et L.124-3 du Code des assurances,</w:t>
      </w:r>
      <w:r w:rsidR="0081384A" w:rsidRPr="00B20372">
        <w:rPr>
          <w:rFonts w:eastAsia="Kalinga" w:cstheme="minorHAnsi"/>
          <w:sz w:val="24"/>
          <w:szCs w:val="24"/>
        </w:rPr>
        <w:t xml:space="preserve"> </w:t>
      </w:r>
      <w:r w:rsidR="0081384A" w:rsidRPr="00B20372">
        <w:rPr>
          <w:rFonts w:cstheme="minorHAnsi"/>
          <w:sz w:val="24"/>
          <w:szCs w:val="24"/>
          <w:shd w:val="clear" w:color="auto" w:fill="FFFFFF"/>
        </w:rPr>
        <w:t>l'assureur de responsabilité, condamné au titre de l'action directe, in solidum avec son assuré, au profit du tiers victime, doit sa garantie à l'assuré dès lors que le risque couvert par le contrat s'est réalisé.</w:t>
      </w:r>
    </w:p>
    <w:p w14:paraId="57D44E52" w14:textId="77777777" w:rsidR="00B20372" w:rsidRDefault="00B20372" w:rsidP="00D36558">
      <w:pPr>
        <w:spacing w:after="0"/>
        <w:jc w:val="both"/>
        <w:rPr>
          <w:rFonts w:cstheme="minorHAnsi"/>
          <w:sz w:val="24"/>
          <w:szCs w:val="24"/>
          <w:shd w:val="clear" w:color="auto" w:fill="FFFFFF"/>
        </w:rPr>
      </w:pPr>
    </w:p>
    <w:p w14:paraId="2C1D3D3D" w14:textId="77777777" w:rsidR="00BA4A40" w:rsidRDefault="00BA4A40" w:rsidP="00D36558">
      <w:pPr>
        <w:spacing w:after="0"/>
        <w:jc w:val="both"/>
        <w:rPr>
          <w:rFonts w:cstheme="minorHAnsi"/>
          <w:sz w:val="24"/>
          <w:szCs w:val="24"/>
          <w:shd w:val="clear" w:color="auto" w:fill="FFFFFF"/>
        </w:rPr>
      </w:pPr>
    </w:p>
    <w:p w14:paraId="16EA82B1" w14:textId="1C33C4CE" w:rsidR="00B20372" w:rsidRPr="00BA4A40" w:rsidRDefault="00B751BB" w:rsidP="00B751BB">
      <w:pPr>
        <w:pStyle w:val="Paragraphedeliste"/>
        <w:numPr>
          <w:ilvl w:val="0"/>
          <w:numId w:val="23"/>
        </w:numPr>
        <w:spacing w:after="0"/>
        <w:jc w:val="both"/>
        <w:rPr>
          <w:rFonts w:eastAsia="Kalinga" w:cstheme="minorHAnsi"/>
          <w:b/>
          <w:bCs/>
          <w:sz w:val="24"/>
          <w:szCs w:val="24"/>
          <w:u w:val="single"/>
        </w:rPr>
      </w:pPr>
      <w:r w:rsidRPr="00BA4A40">
        <w:rPr>
          <w:rFonts w:eastAsia="Kalinga" w:cstheme="minorHAnsi"/>
          <w:b/>
          <w:bCs/>
          <w:sz w:val="24"/>
          <w:szCs w:val="24"/>
          <w:u w:val="single"/>
        </w:rPr>
        <w:t>Réticence ou fausse déclaration intentionnelle de l’assuré</w:t>
      </w:r>
      <w:r w:rsidR="005631AE" w:rsidRPr="00BA4A40">
        <w:rPr>
          <w:rFonts w:eastAsia="Kalinga" w:cstheme="minorHAnsi"/>
          <w:b/>
          <w:bCs/>
          <w:sz w:val="24"/>
          <w:szCs w:val="24"/>
          <w:u w:val="single"/>
        </w:rPr>
        <w:t> : condition de mise en œuvre pour une non-garantie</w:t>
      </w:r>
    </w:p>
    <w:p w14:paraId="1C3147EC" w14:textId="77777777" w:rsidR="005631AE" w:rsidRPr="00B751BB" w:rsidRDefault="005631AE" w:rsidP="005631AE">
      <w:pPr>
        <w:pStyle w:val="Paragraphedeliste"/>
        <w:spacing w:after="0"/>
        <w:jc w:val="both"/>
        <w:rPr>
          <w:rFonts w:eastAsia="Kalinga" w:cstheme="minorHAnsi"/>
          <w:sz w:val="24"/>
          <w:szCs w:val="24"/>
        </w:rPr>
      </w:pPr>
    </w:p>
    <w:p w14:paraId="72A3C0B6" w14:textId="061F58D8" w:rsidR="003A1093" w:rsidRDefault="003A1093" w:rsidP="003A1093">
      <w:pPr>
        <w:spacing w:after="0"/>
        <w:jc w:val="both"/>
        <w:rPr>
          <w:rFonts w:eastAsia="Kalinga" w:cstheme="minorHAnsi"/>
          <w:sz w:val="24"/>
          <w:szCs w:val="24"/>
        </w:rPr>
      </w:pPr>
      <w:r w:rsidRPr="00BA4A40">
        <w:rPr>
          <w:rFonts w:eastAsia="Kalinga" w:cstheme="minorHAnsi"/>
          <w:b/>
          <w:bCs/>
          <w:sz w:val="24"/>
          <w:szCs w:val="24"/>
          <w:u w:val="single"/>
        </w:rPr>
        <w:t>Cass.civ 2</w:t>
      </w:r>
      <w:r w:rsidRPr="00BA4A40">
        <w:rPr>
          <w:rFonts w:eastAsia="Kalinga" w:cstheme="minorHAnsi"/>
          <w:b/>
          <w:bCs/>
          <w:sz w:val="24"/>
          <w:szCs w:val="24"/>
          <w:u w:val="single"/>
          <w:vertAlign w:val="superscript"/>
        </w:rPr>
        <w:t>ème</w:t>
      </w:r>
      <w:r w:rsidRPr="00BA4A40">
        <w:rPr>
          <w:rFonts w:eastAsia="Kalinga" w:cstheme="minorHAnsi"/>
          <w:b/>
          <w:bCs/>
          <w:sz w:val="24"/>
          <w:szCs w:val="24"/>
          <w:u w:val="single"/>
        </w:rPr>
        <w:t>, 15 février 2024, n°22-16.257</w:t>
      </w:r>
      <w:r w:rsidR="009A7E82">
        <w:rPr>
          <w:rFonts w:eastAsia="Kalinga" w:cstheme="minorHAnsi"/>
          <w:sz w:val="24"/>
          <w:szCs w:val="24"/>
        </w:rPr>
        <w:t> : l’assureur ne peut se prévaloir de la réticence ou de la fausse déclaration intentionnelle de l’assuré pour échapper à son obligation de garantie que si celles-ci procèdent des réponses que l’assuré a apportées à ses questions ou si elles ont été faites par ce dernier de sa seule initiative.</w:t>
      </w:r>
    </w:p>
    <w:p w14:paraId="42E17AA9" w14:textId="77777777" w:rsidR="009A7E82" w:rsidRDefault="009A7E82" w:rsidP="003A1093">
      <w:pPr>
        <w:spacing w:after="0"/>
        <w:jc w:val="both"/>
        <w:rPr>
          <w:rFonts w:eastAsia="Kalinga" w:cstheme="minorHAnsi"/>
          <w:sz w:val="24"/>
          <w:szCs w:val="24"/>
        </w:rPr>
      </w:pPr>
    </w:p>
    <w:p w14:paraId="1A9616A6" w14:textId="77777777" w:rsidR="004B6744" w:rsidRDefault="009A7E82" w:rsidP="003A1093">
      <w:pPr>
        <w:spacing w:after="0"/>
        <w:jc w:val="both"/>
        <w:rPr>
          <w:rFonts w:eastAsia="Kalinga" w:cstheme="minorHAnsi"/>
          <w:sz w:val="24"/>
          <w:szCs w:val="24"/>
        </w:rPr>
      </w:pPr>
      <w:r>
        <w:rPr>
          <w:rFonts w:eastAsia="Kalinga" w:cstheme="minorHAnsi"/>
          <w:sz w:val="24"/>
          <w:szCs w:val="24"/>
        </w:rPr>
        <w:t xml:space="preserve">En l’espèce, </w:t>
      </w:r>
      <w:r w:rsidR="004B6744">
        <w:rPr>
          <w:rFonts w:eastAsia="Kalinga" w:cstheme="minorHAnsi"/>
          <w:sz w:val="24"/>
          <w:szCs w:val="24"/>
        </w:rPr>
        <w:t>la société Les berges de la Mer, qui exploite un bâtiment à usage de restaurant, recherchait la garantie de son assureur ALLIANZ IARD au titre des dégradations commises lors des intrusions dans son bâtiment vide.</w:t>
      </w:r>
    </w:p>
    <w:p w14:paraId="25F47D98" w14:textId="77777777" w:rsidR="004B6744" w:rsidRDefault="004B6744" w:rsidP="003A1093">
      <w:pPr>
        <w:spacing w:after="0"/>
        <w:jc w:val="both"/>
        <w:rPr>
          <w:rFonts w:eastAsia="Kalinga" w:cstheme="minorHAnsi"/>
          <w:sz w:val="24"/>
          <w:szCs w:val="24"/>
        </w:rPr>
      </w:pPr>
    </w:p>
    <w:p w14:paraId="63D55415" w14:textId="77777777" w:rsidR="004B6744" w:rsidRDefault="004B6744" w:rsidP="003A1093">
      <w:pPr>
        <w:spacing w:after="0"/>
        <w:jc w:val="both"/>
        <w:rPr>
          <w:rFonts w:eastAsia="Kalinga" w:cstheme="minorHAnsi"/>
          <w:sz w:val="24"/>
          <w:szCs w:val="24"/>
        </w:rPr>
      </w:pPr>
      <w:r>
        <w:rPr>
          <w:rFonts w:eastAsia="Kalinga" w:cstheme="minorHAnsi"/>
          <w:sz w:val="24"/>
          <w:szCs w:val="24"/>
        </w:rPr>
        <w:t>ALLIANZ IARD avait opposé un refus de garantie considérant que son assuré aurait dû lui déclarer le fait que son local était vide dans la mesure où cela avait une incidence sur l’appréciation des risques.</w:t>
      </w:r>
    </w:p>
    <w:p w14:paraId="5E28BA4E" w14:textId="77777777" w:rsidR="004B6744" w:rsidRDefault="004B6744" w:rsidP="003A1093">
      <w:pPr>
        <w:spacing w:after="0"/>
        <w:jc w:val="both"/>
        <w:rPr>
          <w:rFonts w:eastAsia="Kalinga" w:cstheme="minorHAnsi"/>
          <w:sz w:val="24"/>
          <w:szCs w:val="24"/>
        </w:rPr>
      </w:pPr>
    </w:p>
    <w:p w14:paraId="7A852363" w14:textId="77777777" w:rsidR="00BD4141" w:rsidRDefault="00BD4141" w:rsidP="003A1093">
      <w:pPr>
        <w:spacing w:after="0"/>
        <w:jc w:val="both"/>
        <w:rPr>
          <w:rFonts w:eastAsia="Kalinga" w:cstheme="minorHAnsi"/>
          <w:sz w:val="24"/>
          <w:szCs w:val="24"/>
        </w:rPr>
      </w:pPr>
      <w:r>
        <w:rPr>
          <w:rFonts w:eastAsia="Kalinga" w:cstheme="minorHAnsi"/>
          <w:sz w:val="24"/>
          <w:szCs w:val="24"/>
        </w:rPr>
        <w:t>La Cour d’Appel de Paris avait fait droit à la non-garantie d’ALLIANZ IARD.</w:t>
      </w:r>
    </w:p>
    <w:p w14:paraId="2E7EF160" w14:textId="77777777" w:rsidR="00BD4141" w:rsidRDefault="00BD4141" w:rsidP="003A1093">
      <w:pPr>
        <w:spacing w:after="0"/>
        <w:jc w:val="both"/>
        <w:rPr>
          <w:rFonts w:eastAsia="Kalinga" w:cstheme="minorHAnsi"/>
          <w:sz w:val="24"/>
          <w:szCs w:val="24"/>
        </w:rPr>
      </w:pPr>
    </w:p>
    <w:p w14:paraId="20A08AC9" w14:textId="1E53A940" w:rsidR="009A7E82" w:rsidRDefault="00BD4141" w:rsidP="003A1093">
      <w:pPr>
        <w:spacing w:after="0"/>
        <w:jc w:val="both"/>
        <w:rPr>
          <w:rFonts w:eastAsia="Kalinga" w:cstheme="minorHAnsi"/>
          <w:sz w:val="24"/>
          <w:szCs w:val="24"/>
        </w:rPr>
      </w:pPr>
      <w:r>
        <w:rPr>
          <w:rFonts w:eastAsia="Kalinga" w:cstheme="minorHAnsi"/>
          <w:sz w:val="24"/>
          <w:szCs w:val="24"/>
        </w:rPr>
        <w:t xml:space="preserve">La Cour de cassation casse l’arrêt au motif </w:t>
      </w:r>
      <w:r w:rsidR="002B3328">
        <w:rPr>
          <w:rFonts w:eastAsia="Kalinga" w:cstheme="minorHAnsi"/>
          <w:sz w:val="24"/>
          <w:szCs w:val="24"/>
        </w:rPr>
        <w:t>« </w:t>
      </w:r>
      <w:r w:rsidR="002B3328" w:rsidRPr="002B3328">
        <w:rPr>
          <w:rFonts w:eastAsia="Kalinga" w:cstheme="minorHAnsi"/>
          <w:i/>
          <w:iCs/>
          <w:sz w:val="24"/>
          <w:szCs w:val="24"/>
        </w:rPr>
        <w:t>qu’e</w:t>
      </w:r>
      <w:r w:rsidR="00206516" w:rsidRPr="002B3328">
        <w:rPr>
          <w:rFonts w:cstheme="minorHAnsi"/>
          <w:i/>
          <w:iCs/>
          <w:sz w:val="24"/>
          <w:szCs w:val="24"/>
          <w:shd w:val="clear" w:color="auto" w:fill="FFFFFF"/>
        </w:rPr>
        <w:t>n se déterminant ainsi, sans constater que lors de la conclusion du contrat, la société Allianz IARD avait posé des questions à l'assurée relatives à l'occupation des lieux loués, la cour d'appel n'a pas donné de base légale à sa décision</w:t>
      </w:r>
      <w:r w:rsidR="002B3328">
        <w:rPr>
          <w:rFonts w:cstheme="minorHAnsi"/>
          <w:i/>
          <w:iCs/>
          <w:sz w:val="24"/>
          <w:szCs w:val="24"/>
          <w:shd w:val="clear" w:color="auto" w:fill="FFFFFF"/>
        </w:rPr>
        <w:t> »</w:t>
      </w:r>
      <w:r w:rsidR="00206516" w:rsidRPr="002B3328">
        <w:rPr>
          <w:rFonts w:cstheme="minorHAnsi"/>
          <w:i/>
          <w:iCs/>
          <w:sz w:val="24"/>
          <w:szCs w:val="24"/>
          <w:shd w:val="clear" w:color="auto" w:fill="FFFFFF"/>
        </w:rPr>
        <w:t>.</w:t>
      </w:r>
      <w:r w:rsidR="009A7E82">
        <w:rPr>
          <w:rFonts w:eastAsia="Kalinga" w:cstheme="minorHAnsi"/>
          <w:sz w:val="24"/>
          <w:szCs w:val="24"/>
        </w:rPr>
        <w:t xml:space="preserve"> </w:t>
      </w:r>
    </w:p>
    <w:p w14:paraId="6E6FA4AF" w14:textId="77777777" w:rsidR="002B3328" w:rsidRDefault="002B3328" w:rsidP="003A1093">
      <w:pPr>
        <w:spacing w:after="0"/>
        <w:jc w:val="both"/>
        <w:rPr>
          <w:rFonts w:eastAsia="Kalinga" w:cstheme="minorHAnsi"/>
          <w:sz w:val="24"/>
          <w:szCs w:val="24"/>
        </w:rPr>
      </w:pPr>
    </w:p>
    <w:p w14:paraId="73DC86E5" w14:textId="29ACA73A" w:rsidR="009C3416" w:rsidRPr="009C3416" w:rsidRDefault="009C3416" w:rsidP="009C3416">
      <w:pPr>
        <w:pStyle w:val="Paragraphedeliste"/>
        <w:numPr>
          <w:ilvl w:val="0"/>
          <w:numId w:val="23"/>
        </w:numPr>
        <w:spacing w:after="0"/>
        <w:jc w:val="both"/>
        <w:rPr>
          <w:rFonts w:eastAsia="Kalinga" w:cstheme="minorHAnsi"/>
          <w:b/>
          <w:bCs/>
          <w:sz w:val="24"/>
          <w:szCs w:val="24"/>
          <w:u w:val="single"/>
        </w:rPr>
      </w:pPr>
      <w:r w:rsidRPr="009C3416">
        <w:rPr>
          <w:rFonts w:eastAsia="Kalinga" w:cstheme="minorHAnsi"/>
          <w:b/>
          <w:bCs/>
          <w:sz w:val="24"/>
          <w:szCs w:val="24"/>
          <w:u w:val="single"/>
        </w:rPr>
        <w:t>Faute de l’expert amiable dans l’instruction du dossier</w:t>
      </w:r>
    </w:p>
    <w:p w14:paraId="69510BBE" w14:textId="77777777" w:rsidR="009C3416" w:rsidRDefault="009C3416" w:rsidP="009C3416">
      <w:pPr>
        <w:spacing w:after="0"/>
        <w:jc w:val="both"/>
        <w:rPr>
          <w:rFonts w:eastAsia="Kalinga" w:cstheme="minorHAnsi"/>
          <w:sz w:val="24"/>
          <w:szCs w:val="24"/>
        </w:rPr>
      </w:pPr>
    </w:p>
    <w:p w14:paraId="6F87148D" w14:textId="0377CDF1" w:rsidR="009C3416" w:rsidRDefault="009C3416" w:rsidP="009C3416">
      <w:pPr>
        <w:spacing w:after="0"/>
        <w:jc w:val="both"/>
        <w:rPr>
          <w:rStyle w:val="lev"/>
          <w:rFonts w:cstheme="minorHAnsi"/>
          <w:b w:val="0"/>
          <w:bCs w:val="0"/>
          <w:sz w:val="24"/>
          <w:szCs w:val="24"/>
          <w:bdr w:val="none" w:sz="0" w:space="0" w:color="auto" w:frame="1"/>
          <w:shd w:val="clear" w:color="auto" w:fill="FFFFFF"/>
        </w:rPr>
      </w:pPr>
      <w:r w:rsidRPr="009C3416">
        <w:rPr>
          <w:rFonts w:eastAsia="Kalinga" w:cstheme="minorHAnsi"/>
          <w:b/>
          <w:bCs/>
          <w:sz w:val="24"/>
          <w:szCs w:val="24"/>
          <w:u w:val="single"/>
        </w:rPr>
        <w:t>Cass.civ 3</w:t>
      </w:r>
      <w:r w:rsidRPr="009C3416">
        <w:rPr>
          <w:rFonts w:eastAsia="Kalinga" w:cstheme="minorHAnsi"/>
          <w:b/>
          <w:bCs/>
          <w:sz w:val="24"/>
          <w:szCs w:val="24"/>
          <w:u w:val="single"/>
          <w:vertAlign w:val="superscript"/>
        </w:rPr>
        <w:t>ème</w:t>
      </w:r>
      <w:r w:rsidRPr="009C3416">
        <w:rPr>
          <w:rFonts w:eastAsia="Kalinga" w:cstheme="minorHAnsi"/>
          <w:b/>
          <w:bCs/>
          <w:sz w:val="24"/>
          <w:szCs w:val="24"/>
          <w:u w:val="single"/>
        </w:rPr>
        <w:t>, 15 février 2024, n°22-12.365</w:t>
      </w:r>
      <w:r>
        <w:rPr>
          <w:rFonts w:eastAsia="Kalinga" w:cstheme="minorHAnsi"/>
          <w:b/>
          <w:bCs/>
          <w:sz w:val="24"/>
          <w:szCs w:val="24"/>
          <w:u w:val="single"/>
        </w:rPr>
        <w:t> :</w:t>
      </w:r>
      <w:r w:rsidR="001E09D4">
        <w:rPr>
          <w:rFonts w:eastAsia="Kalinga" w:cstheme="minorHAnsi"/>
          <w:sz w:val="24"/>
          <w:szCs w:val="24"/>
        </w:rPr>
        <w:t xml:space="preserve"> </w:t>
      </w:r>
      <w:r w:rsidR="001E09D4" w:rsidRPr="001E09D4">
        <w:rPr>
          <w:rStyle w:val="lev"/>
          <w:rFonts w:cstheme="minorHAnsi"/>
          <w:b w:val="0"/>
          <w:bCs w:val="0"/>
          <w:sz w:val="24"/>
          <w:szCs w:val="24"/>
          <w:bdr w:val="none" w:sz="0" w:space="0" w:color="auto" w:frame="1"/>
          <w:shd w:val="clear" w:color="auto" w:fill="FFFFFF"/>
        </w:rPr>
        <w:t>Si l’assureur engage sa responsabilité contractuelle en raison d’un défaut de diligence dans l’instruction d’un dossier</w:t>
      </w:r>
      <w:r w:rsidR="009E3641">
        <w:rPr>
          <w:rStyle w:val="lev"/>
          <w:rFonts w:cstheme="minorHAnsi"/>
          <w:b w:val="0"/>
          <w:bCs w:val="0"/>
          <w:sz w:val="24"/>
          <w:szCs w:val="24"/>
          <w:bdr w:val="none" w:sz="0" w:space="0" w:color="auto" w:frame="1"/>
          <w:shd w:val="clear" w:color="auto" w:fill="FFFFFF"/>
        </w:rPr>
        <w:t xml:space="preserve">, </w:t>
      </w:r>
      <w:r w:rsidR="001E09D4" w:rsidRPr="001E09D4">
        <w:rPr>
          <w:rStyle w:val="lev"/>
          <w:rFonts w:cstheme="minorHAnsi"/>
          <w:b w:val="0"/>
          <w:bCs w:val="0"/>
          <w:sz w:val="24"/>
          <w:szCs w:val="24"/>
          <w:bdr w:val="none" w:sz="0" w:space="0" w:color="auto" w:frame="1"/>
          <w:shd w:val="clear" w:color="auto" w:fill="FFFFFF"/>
        </w:rPr>
        <w:t>il dispose d’un recours contre l’expert amiable s’il manque à sa mission</w:t>
      </w:r>
      <w:r w:rsidR="009E3641">
        <w:rPr>
          <w:rStyle w:val="lev"/>
          <w:rFonts w:cstheme="minorHAnsi"/>
          <w:b w:val="0"/>
          <w:bCs w:val="0"/>
          <w:sz w:val="24"/>
          <w:szCs w:val="24"/>
          <w:bdr w:val="none" w:sz="0" w:space="0" w:color="auto" w:frame="1"/>
          <w:shd w:val="clear" w:color="auto" w:fill="FFFFFF"/>
        </w:rPr>
        <w:t xml:space="preserve">, </w:t>
      </w:r>
      <w:r w:rsidR="001E09D4" w:rsidRPr="001E09D4">
        <w:rPr>
          <w:rStyle w:val="lev"/>
          <w:rFonts w:cstheme="minorHAnsi"/>
          <w:b w:val="0"/>
          <w:bCs w:val="0"/>
          <w:sz w:val="24"/>
          <w:szCs w:val="24"/>
          <w:bdr w:val="none" w:sz="0" w:space="0" w:color="auto" w:frame="1"/>
          <w:shd w:val="clear" w:color="auto" w:fill="FFFFFF"/>
        </w:rPr>
        <w:t>tout comme le tiers victime.</w:t>
      </w:r>
    </w:p>
    <w:p w14:paraId="1FD64C91" w14:textId="77777777" w:rsidR="00374E68" w:rsidRDefault="00374E68" w:rsidP="009C3416">
      <w:pPr>
        <w:spacing w:after="0"/>
        <w:jc w:val="both"/>
        <w:rPr>
          <w:rStyle w:val="lev"/>
          <w:rFonts w:cstheme="minorHAnsi"/>
          <w:b w:val="0"/>
          <w:bCs w:val="0"/>
          <w:sz w:val="24"/>
          <w:szCs w:val="24"/>
          <w:bdr w:val="none" w:sz="0" w:space="0" w:color="auto" w:frame="1"/>
          <w:shd w:val="clear" w:color="auto" w:fill="FFFFFF"/>
        </w:rPr>
      </w:pPr>
    </w:p>
    <w:p w14:paraId="400576E2" w14:textId="648FAD48" w:rsidR="00374E68" w:rsidRDefault="00374E68" w:rsidP="009C3416">
      <w:pPr>
        <w:spacing w:after="0"/>
        <w:jc w:val="both"/>
        <w:rPr>
          <w:rStyle w:val="lev"/>
          <w:rFonts w:cstheme="minorHAnsi"/>
          <w:b w:val="0"/>
          <w:bCs w:val="0"/>
          <w:sz w:val="24"/>
          <w:szCs w:val="24"/>
          <w:bdr w:val="none" w:sz="0" w:space="0" w:color="auto" w:frame="1"/>
          <w:shd w:val="clear" w:color="auto" w:fill="FFFFFF"/>
        </w:rPr>
      </w:pPr>
      <w:r>
        <w:rPr>
          <w:rStyle w:val="lev"/>
          <w:rFonts w:cstheme="minorHAnsi"/>
          <w:b w:val="0"/>
          <w:bCs w:val="0"/>
          <w:sz w:val="24"/>
          <w:szCs w:val="24"/>
          <w:bdr w:val="none" w:sz="0" w:space="0" w:color="auto" w:frame="1"/>
          <w:shd w:val="clear" w:color="auto" w:fill="FFFFFF"/>
        </w:rPr>
        <w:t>La faute de l’expert amiable s’apprécie par rapport à la mission qui lui a été confiée.</w:t>
      </w:r>
    </w:p>
    <w:p w14:paraId="100B2347" w14:textId="77777777" w:rsidR="005F7E4D" w:rsidRDefault="005F7E4D" w:rsidP="009C3416">
      <w:pPr>
        <w:spacing w:after="0"/>
        <w:jc w:val="both"/>
        <w:rPr>
          <w:rStyle w:val="lev"/>
          <w:rFonts w:cstheme="minorHAnsi"/>
          <w:b w:val="0"/>
          <w:bCs w:val="0"/>
          <w:sz w:val="24"/>
          <w:szCs w:val="24"/>
          <w:bdr w:val="none" w:sz="0" w:space="0" w:color="auto" w:frame="1"/>
          <w:shd w:val="clear" w:color="auto" w:fill="FFFFFF"/>
        </w:rPr>
      </w:pPr>
    </w:p>
    <w:p w14:paraId="7E0BFDE3" w14:textId="04244BDD" w:rsidR="005F7E4D" w:rsidRDefault="005F7E4D" w:rsidP="009C3416">
      <w:pPr>
        <w:spacing w:after="0"/>
        <w:jc w:val="both"/>
        <w:rPr>
          <w:rFonts w:cstheme="minorHAnsi"/>
          <w:sz w:val="24"/>
          <w:szCs w:val="24"/>
          <w:shd w:val="clear" w:color="auto" w:fill="FFFFFF"/>
        </w:rPr>
      </w:pPr>
      <w:r w:rsidRPr="00825364">
        <w:rPr>
          <w:rStyle w:val="lev"/>
          <w:rFonts w:cstheme="minorHAnsi"/>
          <w:b w:val="0"/>
          <w:bCs w:val="0"/>
          <w:sz w:val="24"/>
          <w:szCs w:val="24"/>
          <w:bdr w:val="none" w:sz="0" w:space="0" w:color="auto" w:frame="1"/>
          <w:shd w:val="clear" w:color="auto" w:fill="FFFFFF"/>
        </w:rPr>
        <w:t>Dans cet arrêt, la CA de RENNES a retenu la responsabilité délictuelle de l’expert amiable missionné par l’assureur</w:t>
      </w:r>
      <w:r w:rsidR="00001199" w:rsidRPr="00825364">
        <w:rPr>
          <w:rStyle w:val="lev"/>
          <w:rFonts w:cstheme="minorHAnsi"/>
          <w:b w:val="0"/>
          <w:bCs w:val="0"/>
          <w:sz w:val="24"/>
          <w:szCs w:val="24"/>
          <w:bdr w:val="none" w:sz="0" w:space="0" w:color="auto" w:frame="1"/>
          <w:shd w:val="clear" w:color="auto" w:fill="FFFFFF"/>
        </w:rPr>
        <w:t>s</w:t>
      </w:r>
      <w:r w:rsidR="00115EBD" w:rsidRPr="00825364">
        <w:rPr>
          <w:rStyle w:val="lev"/>
          <w:rFonts w:cstheme="minorHAnsi"/>
          <w:b w:val="0"/>
          <w:bCs w:val="0"/>
          <w:sz w:val="24"/>
          <w:szCs w:val="24"/>
          <w:bdr w:val="none" w:sz="0" w:space="0" w:color="auto" w:frame="1"/>
          <w:shd w:val="clear" w:color="auto" w:fill="FFFFFF"/>
        </w:rPr>
        <w:t xml:space="preserve"> des </w:t>
      </w:r>
      <w:r w:rsidR="00F86AC7" w:rsidRPr="00825364">
        <w:rPr>
          <w:rStyle w:val="lev"/>
          <w:rFonts w:cstheme="minorHAnsi"/>
          <w:b w:val="0"/>
          <w:bCs w:val="0"/>
          <w:sz w:val="24"/>
          <w:szCs w:val="24"/>
          <w:bdr w:val="none" w:sz="0" w:space="0" w:color="auto" w:frame="1"/>
          <w:shd w:val="clear" w:color="auto" w:fill="FFFFFF"/>
        </w:rPr>
        <w:t>tiers victi</w:t>
      </w:r>
      <w:r w:rsidR="00001199" w:rsidRPr="00825364">
        <w:rPr>
          <w:rStyle w:val="lev"/>
          <w:rFonts w:cstheme="minorHAnsi"/>
          <w:b w:val="0"/>
          <w:bCs w:val="0"/>
          <w:sz w:val="24"/>
          <w:szCs w:val="24"/>
          <w:bdr w:val="none" w:sz="0" w:space="0" w:color="auto" w:frame="1"/>
          <w:shd w:val="clear" w:color="auto" w:fill="FFFFFF"/>
        </w:rPr>
        <w:t>mes</w:t>
      </w:r>
      <w:r w:rsidR="00F86AC7" w:rsidRPr="00825364">
        <w:rPr>
          <w:rStyle w:val="lev"/>
          <w:rFonts w:cstheme="minorHAnsi"/>
          <w:b w:val="0"/>
          <w:bCs w:val="0"/>
          <w:sz w:val="24"/>
          <w:szCs w:val="24"/>
          <w:bdr w:val="none" w:sz="0" w:space="0" w:color="auto" w:frame="1"/>
          <w:shd w:val="clear" w:color="auto" w:fill="FFFFFF"/>
        </w:rPr>
        <w:t xml:space="preserve"> (la toiture et la charpente de leur maison se sont arrachés lors d’une tempête)</w:t>
      </w:r>
      <w:r w:rsidR="00825364" w:rsidRPr="00825364">
        <w:rPr>
          <w:rStyle w:val="lev"/>
          <w:rFonts w:cstheme="minorHAnsi"/>
          <w:b w:val="0"/>
          <w:bCs w:val="0"/>
          <w:sz w:val="24"/>
          <w:szCs w:val="24"/>
          <w:bdr w:val="none" w:sz="0" w:space="0" w:color="auto" w:frame="1"/>
          <w:shd w:val="clear" w:color="auto" w:fill="FFFFFF"/>
        </w:rPr>
        <w:t xml:space="preserve"> au titre de l’aggravation des désordres d’infiltrations</w:t>
      </w:r>
      <w:r w:rsidR="00001199" w:rsidRPr="00825364">
        <w:rPr>
          <w:rStyle w:val="lev"/>
          <w:rFonts w:cstheme="minorHAnsi"/>
          <w:b w:val="0"/>
          <w:bCs w:val="0"/>
          <w:sz w:val="24"/>
          <w:szCs w:val="24"/>
          <w:bdr w:val="none" w:sz="0" w:space="0" w:color="auto" w:frame="1"/>
          <w:shd w:val="clear" w:color="auto" w:fill="FFFFFF"/>
        </w:rPr>
        <w:t xml:space="preserve"> considérant que cet expert avait fait preuve d’inertie dans l’instruction du dossier en refusant de valider le devis des travaux de reprise de la charpente et en empêchant </w:t>
      </w:r>
      <w:r w:rsidRPr="00825364">
        <w:rPr>
          <w:rFonts w:cstheme="minorHAnsi"/>
          <w:sz w:val="24"/>
          <w:szCs w:val="24"/>
          <w:shd w:val="clear" w:color="auto" w:fill="FFFFFF"/>
        </w:rPr>
        <w:t>ainsi la réalisation des travaux permettant de faire cesser les infiltrations à l'intérieur de la maison</w:t>
      </w:r>
      <w:r w:rsidR="00825364" w:rsidRPr="00825364">
        <w:rPr>
          <w:rFonts w:cstheme="minorHAnsi"/>
          <w:sz w:val="24"/>
          <w:szCs w:val="24"/>
          <w:shd w:val="clear" w:color="auto" w:fill="FFFFFF"/>
        </w:rPr>
        <w:t>.</w:t>
      </w:r>
    </w:p>
    <w:p w14:paraId="1746B3D3" w14:textId="77777777" w:rsidR="00825364" w:rsidRDefault="00825364" w:rsidP="009C3416">
      <w:pPr>
        <w:spacing w:after="0"/>
        <w:jc w:val="both"/>
        <w:rPr>
          <w:rFonts w:cstheme="minorHAnsi"/>
          <w:sz w:val="24"/>
          <w:szCs w:val="24"/>
          <w:shd w:val="clear" w:color="auto" w:fill="FFFFFF"/>
        </w:rPr>
      </w:pPr>
    </w:p>
    <w:p w14:paraId="14788E7B" w14:textId="09F96406" w:rsidR="00647865" w:rsidRPr="00F17135" w:rsidRDefault="00825364" w:rsidP="009C3416">
      <w:pPr>
        <w:spacing w:after="0"/>
        <w:jc w:val="both"/>
        <w:rPr>
          <w:rFonts w:cstheme="minorHAnsi"/>
          <w:i/>
          <w:iCs/>
          <w:sz w:val="24"/>
          <w:szCs w:val="24"/>
          <w:shd w:val="clear" w:color="auto" w:fill="FFFFFF"/>
        </w:rPr>
      </w:pPr>
      <w:r>
        <w:rPr>
          <w:rFonts w:cstheme="minorHAnsi"/>
          <w:sz w:val="24"/>
          <w:szCs w:val="24"/>
          <w:shd w:val="clear" w:color="auto" w:fill="FFFFFF"/>
        </w:rPr>
        <w:t xml:space="preserve">La Cour de cassation casse cet arrêt </w:t>
      </w:r>
      <w:r w:rsidR="007B274D">
        <w:rPr>
          <w:rFonts w:cstheme="minorHAnsi"/>
          <w:sz w:val="24"/>
          <w:szCs w:val="24"/>
          <w:shd w:val="clear" w:color="auto" w:fill="FFFFFF"/>
        </w:rPr>
        <w:t>considérant qu’il ne pouvait être reproché aucune faute à l’expert amiable dans l’exercice de sa mission</w:t>
      </w:r>
      <w:r w:rsidR="00617272">
        <w:rPr>
          <w:rFonts w:cstheme="minorHAnsi"/>
          <w:sz w:val="24"/>
          <w:szCs w:val="24"/>
          <w:shd w:val="clear" w:color="auto" w:fill="FFFFFF"/>
        </w:rPr>
        <w:t xml:space="preserve"> à l’origine de l’aggravation du sinistre dès lors qu</w:t>
      </w:r>
      <w:r w:rsidR="00F17135">
        <w:rPr>
          <w:rFonts w:cstheme="minorHAnsi"/>
          <w:sz w:val="24"/>
          <w:szCs w:val="24"/>
          <w:shd w:val="clear" w:color="auto" w:fill="FFFFFF"/>
        </w:rPr>
        <w:t xml:space="preserve">’ </w:t>
      </w:r>
      <w:r w:rsidR="00F17135" w:rsidRPr="00F17135">
        <w:rPr>
          <w:rFonts w:cstheme="minorHAnsi"/>
          <w:i/>
          <w:iCs/>
          <w:sz w:val="24"/>
          <w:szCs w:val="24"/>
          <w:shd w:val="clear" w:color="auto" w:fill="FFFFFF"/>
        </w:rPr>
        <w:t>« </w:t>
      </w:r>
      <w:r w:rsidR="00647865" w:rsidRPr="00F17135">
        <w:rPr>
          <w:rFonts w:cstheme="minorHAnsi"/>
          <w:i/>
          <w:iCs/>
          <w:sz w:val="24"/>
          <w:szCs w:val="24"/>
          <w:shd w:val="clear" w:color="auto" w:fill="FFFFFF"/>
        </w:rPr>
        <w:t>il ressortait de ses propres constatations que l'assureur n'avait pas réagi à la réception du premier rapport de l'expert amiable relatant les vaines démarches des assurés pour empêcher les infiltrations et qu'il ne lui avait pas donné, à la date de son second rapport, sa position sur le principe de sa garantie</w:t>
      </w:r>
      <w:r w:rsidR="00F17135" w:rsidRPr="00F17135">
        <w:rPr>
          <w:rFonts w:cstheme="minorHAnsi"/>
          <w:i/>
          <w:iCs/>
          <w:sz w:val="24"/>
          <w:szCs w:val="24"/>
          <w:shd w:val="clear" w:color="auto" w:fill="FFFFFF"/>
        </w:rPr>
        <w:t> ».</w:t>
      </w:r>
    </w:p>
    <w:p w14:paraId="5F8BB26E" w14:textId="77777777" w:rsidR="003A1093" w:rsidRDefault="003A1093" w:rsidP="003A1093">
      <w:pPr>
        <w:spacing w:after="0"/>
        <w:jc w:val="both"/>
        <w:rPr>
          <w:rFonts w:eastAsia="Kalinga" w:cstheme="minorHAnsi"/>
          <w:sz w:val="24"/>
          <w:szCs w:val="24"/>
        </w:rPr>
      </w:pPr>
    </w:p>
    <w:p w14:paraId="77A81653" w14:textId="77777777" w:rsidR="00BA4A40" w:rsidRDefault="00BA4A40" w:rsidP="003A1093">
      <w:pPr>
        <w:spacing w:after="0"/>
        <w:jc w:val="both"/>
        <w:rPr>
          <w:rFonts w:eastAsia="Kalinga" w:cstheme="minorHAnsi"/>
          <w:sz w:val="24"/>
          <w:szCs w:val="24"/>
        </w:rPr>
      </w:pPr>
    </w:p>
    <w:p w14:paraId="3221B5C8" w14:textId="1ABE25B5" w:rsidR="005F1BA1" w:rsidRPr="00513260" w:rsidRDefault="0024576D" w:rsidP="005F1BA1">
      <w:pPr>
        <w:pStyle w:val="Paragraphedeliste"/>
        <w:numPr>
          <w:ilvl w:val="0"/>
          <w:numId w:val="23"/>
        </w:numPr>
        <w:spacing w:after="0"/>
        <w:jc w:val="both"/>
        <w:rPr>
          <w:rFonts w:eastAsia="Kalinga" w:cstheme="minorHAnsi"/>
          <w:b/>
          <w:bCs/>
          <w:sz w:val="24"/>
          <w:szCs w:val="24"/>
          <w:u w:val="single"/>
        </w:rPr>
      </w:pPr>
      <w:r w:rsidRPr="00513260">
        <w:rPr>
          <w:rFonts w:eastAsia="Kalinga" w:cstheme="minorHAnsi"/>
          <w:b/>
          <w:bCs/>
          <w:sz w:val="24"/>
          <w:szCs w:val="24"/>
          <w:u w:val="single"/>
        </w:rPr>
        <w:t>Exclusion de garantie ou condition de garantie</w:t>
      </w:r>
      <w:r w:rsidR="00513260" w:rsidRPr="00513260">
        <w:rPr>
          <w:rFonts w:eastAsia="Kalinga" w:cstheme="minorHAnsi"/>
          <w:b/>
          <w:bCs/>
          <w:sz w:val="24"/>
          <w:szCs w:val="24"/>
          <w:u w:val="single"/>
        </w:rPr>
        <w:t> : précisions sur l’application des garanties dans les dispositions diverses : pas une condition de la garantie</w:t>
      </w:r>
    </w:p>
    <w:p w14:paraId="3EB98033" w14:textId="77777777" w:rsidR="0024576D" w:rsidRDefault="0024576D" w:rsidP="0024576D">
      <w:pPr>
        <w:spacing w:after="0"/>
        <w:jc w:val="both"/>
        <w:rPr>
          <w:rFonts w:eastAsia="Kalinga" w:cstheme="minorHAnsi"/>
          <w:sz w:val="24"/>
          <w:szCs w:val="24"/>
        </w:rPr>
      </w:pPr>
    </w:p>
    <w:p w14:paraId="227DA1EC" w14:textId="62EC4247" w:rsidR="0024576D" w:rsidRDefault="0024576D" w:rsidP="0024576D">
      <w:pPr>
        <w:spacing w:after="0"/>
        <w:jc w:val="both"/>
        <w:rPr>
          <w:rFonts w:cstheme="minorHAnsi"/>
          <w:sz w:val="24"/>
          <w:szCs w:val="24"/>
          <w:shd w:val="clear" w:color="auto" w:fill="FFFFFF"/>
        </w:rPr>
      </w:pPr>
      <w:r w:rsidRPr="007A195A">
        <w:rPr>
          <w:rFonts w:eastAsia="Kalinga" w:cstheme="minorHAnsi"/>
          <w:b/>
          <w:bCs/>
          <w:sz w:val="24"/>
          <w:szCs w:val="24"/>
          <w:u w:val="single"/>
        </w:rPr>
        <w:t>Cass.civ 3</w:t>
      </w:r>
      <w:r w:rsidRPr="007A195A">
        <w:rPr>
          <w:rFonts w:eastAsia="Kalinga" w:cstheme="minorHAnsi"/>
          <w:b/>
          <w:bCs/>
          <w:sz w:val="24"/>
          <w:szCs w:val="24"/>
          <w:u w:val="single"/>
          <w:vertAlign w:val="superscript"/>
        </w:rPr>
        <w:t>ème</w:t>
      </w:r>
      <w:r w:rsidRPr="007A195A">
        <w:rPr>
          <w:rFonts w:eastAsia="Kalinga" w:cstheme="minorHAnsi"/>
          <w:b/>
          <w:bCs/>
          <w:sz w:val="24"/>
          <w:szCs w:val="24"/>
          <w:u w:val="single"/>
        </w:rPr>
        <w:t>, 7 mars 2024, n°22-17.200 et 22-21.745</w:t>
      </w:r>
      <w:r w:rsidR="0097719E">
        <w:rPr>
          <w:rFonts w:eastAsia="Kalinga" w:cstheme="minorHAnsi"/>
          <w:sz w:val="24"/>
          <w:szCs w:val="24"/>
        </w:rPr>
        <w:t xml:space="preserve"> : </w:t>
      </w:r>
      <w:r w:rsidR="0097719E" w:rsidRPr="007A195A">
        <w:rPr>
          <w:rFonts w:eastAsia="Kalinga" w:cstheme="minorHAnsi"/>
          <w:sz w:val="24"/>
          <w:szCs w:val="24"/>
        </w:rPr>
        <w:t xml:space="preserve">la </w:t>
      </w:r>
      <w:r w:rsidR="0097719E" w:rsidRPr="007A195A">
        <w:rPr>
          <w:rFonts w:cstheme="minorHAnsi"/>
          <w:sz w:val="24"/>
          <w:szCs w:val="24"/>
          <w:shd w:val="clear" w:color="auto" w:fill="FFFFFF"/>
        </w:rPr>
        <w:t xml:space="preserve">mention suivant laquelle </w:t>
      </w:r>
      <w:r w:rsidR="0097719E" w:rsidRPr="007A195A">
        <w:rPr>
          <w:rFonts w:cstheme="minorHAnsi"/>
          <w:i/>
          <w:iCs/>
          <w:sz w:val="24"/>
          <w:szCs w:val="24"/>
          <w:shd w:val="clear" w:color="auto" w:fill="FFFFFF"/>
        </w:rPr>
        <w:t>« les recommandations du BET sols pour la création, du parking devront être prises en compte notamment au niveau de l'étanchéité et des sous-pressions »</w:t>
      </w:r>
      <w:r w:rsidR="0097719E" w:rsidRPr="007A195A">
        <w:rPr>
          <w:rFonts w:cstheme="minorHAnsi"/>
          <w:sz w:val="24"/>
          <w:szCs w:val="24"/>
          <w:shd w:val="clear" w:color="auto" w:fill="FFFFFF"/>
        </w:rPr>
        <w:t xml:space="preserve">, figurant parmi des dispositions diverses faisant suite aux exclusions de garantie, ne subordonne pas </w:t>
      </w:r>
      <w:r w:rsidR="007A195A" w:rsidRPr="007A195A">
        <w:rPr>
          <w:rFonts w:cstheme="minorHAnsi"/>
          <w:sz w:val="24"/>
          <w:szCs w:val="24"/>
          <w:shd w:val="clear" w:color="auto" w:fill="FFFFFF"/>
        </w:rPr>
        <w:t>l’application de la garantie</w:t>
      </w:r>
      <w:r w:rsidR="0097719E" w:rsidRPr="007A195A">
        <w:rPr>
          <w:rFonts w:cstheme="minorHAnsi"/>
          <w:sz w:val="24"/>
          <w:szCs w:val="24"/>
          <w:shd w:val="clear" w:color="auto" w:fill="FFFFFF"/>
        </w:rPr>
        <w:t xml:space="preserve"> au respect des recommandations du bureau d'études techniques de sols.</w:t>
      </w:r>
    </w:p>
    <w:p w14:paraId="77D983D9" w14:textId="77777777" w:rsidR="00067FC0" w:rsidRDefault="00067FC0" w:rsidP="0024576D">
      <w:pPr>
        <w:spacing w:after="0"/>
        <w:jc w:val="both"/>
        <w:rPr>
          <w:rFonts w:cstheme="minorHAnsi"/>
          <w:sz w:val="24"/>
          <w:szCs w:val="24"/>
          <w:shd w:val="clear" w:color="auto" w:fill="FFFFFF"/>
        </w:rPr>
      </w:pPr>
    </w:p>
    <w:p w14:paraId="24C0F16D" w14:textId="388A0BA4" w:rsidR="00067FC0" w:rsidRPr="00067FC0" w:rsidRDefault="00067FC0" w:rsidP="0024576D">
      <w:pPr>
        <w:spacing w:after="0"/>
        <w:jc w:val="both"/>
        <w:rPr>
          <w:rFonts w:cstheme="minorHAnsi"/>
          <w:b/>
          <w:bCs/>
          <w:sz w:val="24"/>
          <w:szCs w:val="24"/>
          <w:u w:val="single"/>
          <w:shd w:val="clear" w:color="auto" w:fill="FFFFFF"/>
        </w:rPr>
      </w:pPr>
      <w:r w:rsidRPr="00067FC0">
        <w:rPr>
          <w:rFonts w:cstheme="minorHAnsi"/>
          <w:b/>
          <w:bCs/>
          <w:sz w:val="24"/>
          <w:szCs w:val="24"/>
          <w:u w:val="single"/>
          <w:shd w:val="clear" w:color="auto" w:fill="FFFFFF"/>
        </w:rPr>
        <w:t>Pour rappel :</w:t>
      </w:r>
    </w:p>
    <w:p w14:paraId="07684D70" w14:textId="77777777" w:rsidR="00067FC0" w:rsidRDefault="00067FC0" w:rsidP="0024576D">
      <w:pPr>
        <w:spacing w:after="0"/>
        <w:jc w:val="both"/>
        <w:rPr>
          <w:rFonts w:cstheme="minorHAnsi"/>
          <w:sz w:val="24"/>
          <w:szCs w:val="24"/>
          <w:shd w:val="clear" w:color="auto" w:fill="FFFFFF"/>
        </w:rPr>
      </w:pPr>
    </w:p>
    <w:p w14:paraId="6073F6BD" w14:textId="77777777" w:rsidR="00067FC0" w:rsidRPr="00067FC0" w:rsidRDefault="00067FC0" w:rsidP="00067FC0">
      <w:pPr>
        <w:spacing w:after="0"/>
        <w:jc w:val="both"/>
        <w:rPr>
          <w:rFonts w:eastAsia="Kalinga" w:cstheme="minorHAnsi"/>
          <w:b/>
          <w:bCs/>
          <w:sz w:val="24"/>
          <w:szCs w:val="24"/>
        </w:rPr>
      </w:pPr>
      <w:r w:rsidRPr="00067FC0">
        <w:rPr>
          <w:rFonts w:eastAsia="Kalinga" w:cstheme="minorHAnsi"/>
          <w:b/>
          <w:bCs/>
          <w:sz w:val="24"/>
          <w:szCs w:val="24"/>
          <w:u w:val="single"/>
        </w:rPr>
        <w:t>Cass.civ 3</w:t>
      </w:r>
      <w:r w:rsidRPr="00067FC0">
        <w:rPr>
          <w:rFonts w:eastAsia="Kalinga" w:cstheme="minorHAnsi"/>
          <w:b/>
          <w:bCs/>
          <w:sz w:val="24"/>
          <w:szCs w:val="24"/>
          <w:u w:val="single"/>
          <w:vertAlign w:val="superscript"/>
        </w:rPr>
        <w:t>ème</w:t>
      </w:r>
      <w:r w:rsidRPr="00067FC0">
        <w:rPr>
          <w:rFonts w:eastAsia="Kalinga" w:cstheme="minorHAnsi"/>
          <w:b/>
          <w:bCs/>
          <w:sz w:val="24"/>
          <w:szCs w:val="24"/>
          <w:u w:val="single"/>
        </w:rPr>
        <w:t xml:space="preserve"> du 1</w:t>
      </w:r>
      <w:r w:rsidRPr="00067FC0">
        <w:rPr>
          <w:rFonts w:eastAsia="Kalinga" w:cstheme="minorHAnsi"/>
          <w:b/>
          <w:bCs/>
          <w:sz w:val="24"/>
          <w:szCs w:val="24"/>
          <w:u w:val="single"/>
          <w:vertAlign w:val="superscript"/>
        </w:rPr>
        <w:t>er</w:t>
      </w:r>
      <w:r w:rsidRPr="00067FC0">
        <w:rPr>
          <w:rFonts w:eastAsia="Kalinga" w:cstheme="minorHAnsi"/>
          <w:b/>
          <w:bCs/>
          <w:sz w:val="24"/>
          <w:szCs w:val="24"/>
          <w:u w:val="single"/>
        </w:rPr>
        <w:t xml:space="preserve"> mars 2023, n°21-23.375</w:t>
      </w:r>
      <w:r w:rsidRPr="00067FC0">
        <w:rPr>
          <w:rFonts w:eastAsia="Kalinga" w:cstheme="minorHAnsi"/>
          <w:b/>
          <w:bCs/>
          <w:sz w:val="24"/>
          <w:szCs w:val="24"/>
        </w:rPr>
        <w:t> : Les conditions particulières qui stipulent que l’activité comprend l’intégration de panneaux photovoltaïques en limitant les installations concernées à une surface maximum de 60 m² ne constituent pas une exclusion mais une limitation de garantie.</w:t>
      </w:r>
    </w:p>
    <w:p w14:paraId="5BCDA59F" w14:textId="77777777" w:rsidR="00067FC0" w:rsidRPr="00067FC0" w:rsidRDefault="00067FC0" w:rsidP="00067FC0">
      <w:pPr>
        <w:spacing w:after="0"/>
        <w:jc w:val="both"/>
        <w:rPr>
          <w:rFonts w:eastAsia="Kalinga" w:cstheme="minorHAnsi"/>
          <w:sz w:val="24"/>
          <w:szCs w:val="24"/>
        </w:rPr>
      </w:pPr>
    </w:p>
    <w:p w14:paraId="7B57B35A" w14:textId="77777777" w:rsidR="00067FC0" w:rsidRPr="00067FC0" w:rsidRDefault="00067FC0" w:rsidP="00067FC0">
      <w:pPr>
        <w:spacing w:after="0"/>
        <w:jc w:val="both"/>
        <w:rPr>
          <w:rFonts w:eastAsia="Kalinga" w:cstheme="minorHAnsi"/>
          <w:sz w:val="24"/>
          <w:szCs w:val="24"/>
        </w:rPr>
      </w:pPr>
      <w:r w:rsidRPr="00067FC0">
        <w:rPr>
          <w:rFonts w:eastAsia="Kalinga" w:cstheme="minorHAnsi"/>
          <w:sz w:val="24"/>
          <w:szCs w:val="24"/>
        </w:rPr>
        <w:t>En l’espèce, les conditions particulières d’une police couvrant la responsabilité civile d’une entreprise intervenue en sous-traitance comporte une clause aux termes de laquelle l’activité comprend l’intégration de panneaux photovoltaïques en couverture, les branchements électriques ainsi que le raccordement au réseau public. La stipulation précise que les installations concernées sont limitées à des surfaces maximums de 60 m². En l’espèce, l’assuré réalise une centrale supérieure à 60 m². Des désordres se produisent qui sont déclarés à l’assureur qui oppose une non-garantie.</w:t>
      </w:r>
    </w:p>
    <w:p w14:paraId="6E8887CB" w14:textId="77777777" w:rsidR="00067FC0" w:rsidRPr="00067FC0" w:rsidRDefault="00067FC0" w:rsidP="00067FC0">
      <w:pPr>
        <w:spacing w:after="0"/>
        <w:jc w:val="both"/>
        <w:rPr>
          <w:rFonts w:eastAsia="Kalinga" w:cstheme="minorHAnsi"/>
          <w:sz w:val="24"/>
          <w:szCs w:val="24"/>
        </w:rPr>
      </w:pPr>
    </w:p>
    <w:p w14:paraId="06CE5995" w14:textId="77777777" w:rsidR="00067FC0" w:rsidRPr="00067FC0" w:rsidRDefault="00067FC0" w:rsidP="00067FC0">
      <w:pPr>
        <w:spacing w:after="0"/>
        <w:jc w:val="both"/>
        <w:rPr>
          <w:rFonts w:eastAsia="Kalinga" w:cstheme="minorHAnsi"/>
          <w:sz w:val="24"/>
          <w:szCs w:val="24"/>
        </w:rPr>
      </w:pPr>
      <w:r w:rsidRPr="00067FC0">
        <w:rPr>
          <w:rFonts w:eastAsia="Kalinga" w:cstheme="minorHAnsi"/>
          <w:sz w:val="24"/>
          <w:szCs w:val="24"/>
        </w:rPr>
        <w:t xml:space="preserve">La Cour de cassation confirme l’arrêt rendu par la Cour d’Appel d’Aix en Provence ayant rejeté le recours contre l’assureur du sous-traitant poseur soulignant que la clause en question ne </w:t>
      </w:r>
      <w:r w:rsidRPr="00067FC0">
        <w:rPr>
          <w:rFonts w:eastAsia="Kalinga" w:cstheme="minorHAnsi"/>
          <w:sz w:val="24"/>
          <w:szCs w:val="24"/>
        </w:rPr>
        <w:lastRenderedPageBreak/>
        <w:t>constitue pas une exclusion de garantie mais une précision sur la définition de l’objet du risque assuré et qu’elle participe donc de la condition de garantie.</w:t>
      </w:r>
    </w:p>
    <w:p w14:paraId="354F4CB9" w14:textId="77777777" w:rsidR="00067FC0" w:rsidRPr="00067FC0" w:rsidRDefault="00067FC0" w:rsidP="00067FC0">
      <w:pPr>
        <w:spacing w:after="0"/>
        <w:jc w:val="both"/>
        <w:rPr>
          <w:rFonts w:eastAsia="Kalinga" w:cstheme="minorHAnsi"/>
          <w:sz w:val="24"/>
          <w:szCs w:val="24"/>
        </w:rPr>
      </w:pPr>
    </w:p>
    <w:p w14:paraId="3E3F1366" w14:textId="77777777" w:rsidR="00067FC0" w:rsidRPr="00067FC0" w:rsidRDefault="00067FC0" w:rsidP="00067FC0">
      <w:pPr>
        <w:spacing w:after="0"/>
        <w:jc w:val="both"/>
        <w:rPr>
          <w:rFonts w:eastAsia="Kalinga" w:cstheme="minorHAnsi"/>
          <w:sz w:val="24"/>
          <w:szCs w:val="24"/>
        </w:rPr>
      </w:pPr>
      <w:r w:rsidRPr="00067FC0">
        <w:rPr>
          <w:rFonts w:eastAsia="Kalinga" w:cstheme="minorHAnsi"/>
          <w:sz w:val="24"/>
          <w:szCs w:val="24"/>
        </w:rPr>
        <w:t>Les limites entre exclusions de garantie et condition de la garantie deviennent floues.</w:t>
      </w:r>
    </w:p>
    <w:p w14:paraId="14D800C1" w14:textId="77777777" w:rsidR="00067FC0" w:rsidRPr="00067FC0" w:rsidRDefault="00067FC0" w:rsidP="00067FC0">
      <w:pPr>
        <w:spacing w:after="0"/>
        <w:jc w:val="both"/>
        <w:rPr>
          <w:rFonts w:eastAsia="Kalinga" w:cstheme="minorHAnsi"/>
          <w:sz w:val="24"/>
          <w:szCs w:val="24"/>
        </w:rPr>
      </w:pPr>
    </w:p>
    <w:p w14:paraId="3DA1B7A4" w14:textId="77777777" w:rsidR="00067FC0" w:rsidRPr="00067FC0" w:rsidRDefault="00067FC0" w:rsidP="00067FC0">
      <w:pPr>
        <w:spacing w:after="0"/>
        <w:jc w:val="both"/>
        <w:rPr>
          <w:rFonts w:eastAsia="Kalinga" w:cstheme="minorHAnsi"/>
          <w:sz w:val="24"/>
          <w:szCs w:val="24"/>
        </w:rPr>
      </w:pPr>
      <w:r w:rsidRPr="00067FC0">
        <w:rPr>
          <w:rFonts w:eastAsia="Kalinga" w:cstheme="minorHAnsi"/>
          <w:sz w:val="24"/>
          <w:szCs w:val="24"/>
        </w:rPr>
        <w:t>L’exclusion de garantie se définit comme la clause par laquelle l’assureur, lorsqu’il définit l’objet de sa garantie, manifeste sa volonté d’écarter de celle-ci certains événements ou certains types de dommages. Ces exclusions de garanties sont licites à la condition d’être formelles et limitées (L.113-1 du Code des assurances).</w:t>
      </w:r>
    </w:p>
    <w:p w14:paraId="000EEC05" w14:textId="77777777" w:rsidR="00067FC0" w:rsidRPr="00067FC0" w:rsidRDefault="00067FC0" w:rsidP="00067FC0">
      <w:pPr>
        <w:spacing w:after="0"/>
        <w:jc w:val="both"/>
        <w:rPr>
          <w:rFonts w:eastAsia="Kalinga" w:cstheme="minorHAnsi"/>
          <w:sz w:val="24"/>
          <w:szCs w:val="24"/>
        </w:rPr>
      </w:pPr>
    </w:p>
    <w:p w14:paraId="57811C56" w14:textId="77777777" w:rsidR="00067FC0" w:rsidRPr="00067FC0" w:rsidRDefault="00067FC0" w:rsidP="00067FC0">
      <w:pPr>
        <w:spacing w:after="0"/>
        <w:jc w:val="both"/>
        <w:rPr>
          <w:rFonts w:eastAsia="Kalinga" w:cstheme="minorHAnsi"/>
          <w:sz w:val="24"/>
          <w:szCs w:val="24"/>
        </w:rPr>
      </w:pPr>
      <w:r w:rsidRPr="00067FC0">
        <w:rPr>
          <w:rFonts w:eastAsia="Kalinga" w:cstheme="minorHAnsi"/>
          <w:sz w:val="24"/>
          <w:szCs w:val="24"/>
        </w:rPr>
        <w:t>La condition de garantie est différente puisque l’assureur fait dépendre l’octroi de sa garantie à la réalisation de certaines conditions préalables. Ces conditions de garantie relèvent de la liberté contractuelle. Ainsi, nonobstant le caractère obligatoire de la couverture d’assurance, les parties au contrat d’assurance peuvent librement conditionner le déclenchement des garanties.</w:t>
      </w:r>
    </w:p>
    <w:p w14:paraId="0F28E2A4" w14:textId="77777777" w:rsidR="00067FC0" w:rsidRPr="00067FC0" w:rsidRDefault="00067FC0" w:rsidP="00067FC0">
      <w:pPr>
        <w:spacing w:after="0"/>
        <w:jc w:val="both"/>
        <w:rPr>
          <w:rFonts w:eastAsia="Kalinga" w:cstheme="minorHAnsi"/>
          <w:sz w:val="24"/>
          <w:szCs w:val="24"/>
        </w:rPr>
      </w:pPr>
    </w:p>
    <w:p w14:paraId="2E8B7510" w14:textId="77777777" w:rsidR="00067FC0" w:rsidRPr="00067FC0" w:rsidRDefault="00067FC0" w:rsidP="00067FC0">
      <w:pPr>
        <w:spacing w:after="0"/>
        <w:jc w:val="both"/>
        <w:rPr>
          <w:rFonts w:eastAsia="Kalinga" w:cstheme="minorHAnsi"/>
          <w:sz w:val="24"/>
          <w:szCs w:val="24"/>
        </w:rPr>
      </w:pPr>
      <w:r w:rsidRPr="00067FC0">
        <w:rPr>
          <w:rFonts w:eastAsia="Kalinga" w:cstheme="minorHAnsi"/>
          <w:sz w:val="24"/>
          <w:szCs w:val="24"/>
        </w:rPr>
        <w:t>La qualification d’exclusion ou de condition de garantie relève du pouvoir souverain des juges du fond.</w:t>
      </w:r>
    </w:p>
    <w:p w14:paraId="19F17DCE" w14:textId="77777777" w:rsidR="00067FC0" w:rsidRDefault="00067FC0" w:rsidP="0024576D">
      <w:pPr>
        <w:spacing w:after="0"/>
        <w:jc w:val="both"/>
        <w:rPr>
          <w:rFonts w:eastAsia="Kalinga" w:cstheme="minorHAnsi"/>
          <w:sz w:val="24"/>
          <w:szCs w:val="24"/>
        </w:rPr>
      </w:pPr>
    </w:p>
    <w:p w14:paraId="4CCBF13D" w14:textId="77777777" w:rsidR="0046619D" w:rsidRDefault="0046619D" w:rsidP="0024576D">
      <w:pPr>
        <w:spacing w:after="0"/>
        <w:jc w:val="both"/>
        <w:rPr>
          <w:rFonts w:eastAsia="Kalinga" w:cstheme="minorHAnsi"/>
          <w:sz w:val="24"/>
          <w:szCs w:val="24"/>
        </w:rPr>
      </w:pPr>
    </w:p>
    <w:p w14:paraId="61F38EDC" w14:textId="65105480" w:rsidR="0046619D" w:rsidRPr="00E44428" w:rsidRDefault="0046619D" w:rsidP="0046619D">
      <w:pPr>
        <w:pStyle w:val="Paragraphedeliste"/>
        <w:numPr>
          <w:ilvl w:val="0"/>
          <w:numId w:val="23"/>
        </w:numPr>
        <w:spacing w:after="0"/>
        <w:jc w:val="both"/>
        <w:rPr>
          <w:rFonts w:eastAsia="Kalinga" w:cstheme="minorHAnsi"/>
          <w:b/>
          <w:bCs/>
          <w:sz w:val="24"/>
          <w:szCs w:val="24"/>
          <w:u w:val="single"/>
        </w:rPr>
      </w:pPr>
      <w:r w:rsidRPr="00E44428">
        <w:rPr>
          <w:rFonts w:eastAsia="Kalinga" w:cstheme="minorHAnsi"/>
          <w:b/>
          <w:bCs/>
          <w:sz w:val="24"/>
          <w:szCs w:val="24"/>
          <w:u w:val="single"/>
        </w:rPr>
        <w:t>Prescription de l’action récursoire d’un responsable contre l’assureur d’un co-responsable</w:t>
      </w:r>
    </w:p>
    <w:p w14:paraId="08B1DF37" w14:textId="77777777" w:rsidR="008D243F" w:rsidRPr="00E44428" w:rsidRDefault="008D243F" w:rsidP="008D243F">
      <w:pPr>
        <w:spacing w:after="0"/>
        <w:jc w:val="both"/>
        <w:rPr>
          <w:rFonts w:eastAsia="Kalinga" w:cstheme="minorHAnsi"/>
          <w:b/>
          <w:bCs/>
          <w:sz w:val="24"/>
          <w:szCs w:val="24"/>
        </w:rPr>
      </w:pPr>
    </w:p>
    <w:p w14:paraId="61829C86" w14:textId="233DC782" w:rsidR="00496F42" w:rsidRDefault="008D243F" w:rsidP="00270E77">
      <w:pPr>
        <w:spacing w:after="0"/>
        <w:jc w:val="both"/>
        <w:rPr>
          <w:rFonts w:eastAsia="Kalinga" w:cstheme="minorHAnsi"/>
          <w:sz w:val="24"/>
          <w:szCs w:val="24"/>
        </w:rPr>
      </w:pPr>
      <w:r w:rsidRPr="00E44428">
        <w:rPr>
          <w:rFonts w:eastAsia="Kalinga" w:cstheme="minorHAnsi"/>
          <w:b/>
          <w:bCs/>
          <w:sz w:val="24"/>
          <w:szCs w:val="24"/>
          <w:u w:val="single"/>
        </w:rPr>
        <w:t>Cass.civ 3</w:t>
      </w:r>
      <w:r w:rsidRPr="00E44428">
        <w:rPr>
          <w:rFonts w:eastAsia="Kalinga" w:cstheme="minorHAnsi"/>
          <w:b/>
          <w:bCs/>
          <w:sz w:val="24"/>
          <w:szCs w:val="24"/>
          <w:u w:val="single"/>
          <w:vertAlign w:val="superscript"/>
        </w:rPr>
        <w:t>ème</w:t>
      </w:r>
      <w:r w:rsidRPr="00E44428">
        <w:rPr>
          <w:rFonts w:eastAsia="Kalinga" w:cstheme="minorHAnsi"/>
          <w:b/>
          <w:bCs/>
          <w:sz w:val="24"/>
          <w:szCs w:val="24"/>
          <w:u w:val="single"/>
        </w:rPr>
        <w:t>, 7 mars 2024, n°22-20.555</w:t>
      </w:r>
      <w:r w:rsidR="00E44428" w:rsidRPr="00E44428">
        <w:rPr>
          <w:rFonts w:eastAsia="Kalinga" w:cstheme="minorHAnsi"/>
          <w:b/>
          <w:bCs/>
          <w:sz w:val="24"/>
          <w:szCs w:val="24"/>
          <w:u w:val="single"/>
        </w:rPr>
        <w:t> :</w:t>
      </w:r>
      <w:r w:rsidR="00E44428" w:rsidRPr="00E44428">
        <w:rPr>
          <w:rFonts w:eastAsia="Kalinga" w:cstheme="minorHAnsi"/>
          <w:sz w:val="24"/>
          <w:szCs w:val="24"/>
        </w:rPr>
        <w:t xml:space="preserve"> </w:t>
      </w:r>
      <w:r w:rsidR="00E44428" w:rsidRPr="00E44428">
        <w:rPr>
          <w:rFonts w:cstheme="minorHAnsi"/>
          <w:sz w:val="23"/>
          <w:szCs w:val="23"/>
          <w:shd w:val="clear" w:color="auto" w:fill="FFFFFF"/>
        </w:rPr>
        <w:t>L'action récursoire d'un responsable contre l'assureur de responsabilité d'un co-responsable se prescrit selon les mêmes règles que celles applicables à l'action récursoire contre cet autre responsable. En conséquence, l'action récursoire de l'assureur d'un constructeur, subrogé dans les droits de son assuré, contre l'assureur d'un autre constructeur n'est pas prescrite tant que le délai prévu à l'article 2224 du code civil n'est pas expiré, peu important que l'assureur ainsi recherché ne soit plus exposé au recours de son assuré, en raison de l'expiration de la prescription biennale de l'article L. 114-1 du code des assurances</w:t>
      </w:r>
      <w:r w:rsidR="00E44428">
        <w:rPr>
          <w:rFonts w:eastAsia="Kalinga" w:cstheme="minorHAnsi"/>
          <w:sz w:val="24"/>
          <w:szCs w:val="24"/>
        </w:rPr>
        <w:t>.</w:t>
      </w:r>
    </w:p>
    <w:p w14:paraId="7E3DF2DE" w14:textId="77777777" w:rsidR="00E44428" w:rsidRDefault="00E44428" w:rsidP="00270E77">
      <w:pPr>
        <w:spacing w:after="0"/>
        <w:jc w:val="both"/>
        <w:rPr>
          <w:rFonts w:eastAsia="Kalinga" w:cstheme="minorHAnsi"/>
          <w:sz w:val="24"/>
          <w:szCs w:val="24"/>
        </w:rPr>
      </w:pPr>
    </w:p>
    <w:p w14:paraId="2D790AC8" w14:textId="43A5EE7E" w:rsidR="00E44428" w:rsidRPr="00F720FF" w:rsidRDefault="00F720FF" w:rsidP="00F720FF">
      <w:pPr>
        <w:pStyle w:val="Paragraphedeliste"/>
        <w:numPr>
          <w:ilvl w:val="0"/>
          <w:numId w:val="23"/>
        </w:numPr>
        <w:spacing w:after="0"/>
        <w:jc w:val="both"/>
        <w:rPr>
          <w:rFonts w:eastAsia="Kalinga" w:cstheme="minorHAnsi"/>
          <w:b/>
          <w:bCs/>
          <w:sz w:val="24"/>
          <w:szCs w:val="24"/>
          <w:u w:val="single"/>
        </w:rPr>
      </w:pPr>
      <w:r w:rsidRPr="00F720FF">
        <w:rPr>
          <w:rFonts w:eastAsia="Kalinga" w:cstheme="minorHAnsi"/>
          <w:b/>
          <w:bCs/>
          <w:sz w:val="24"/>
          <w:szCs w:val="24"/>
          <w:u w:val="single"/>
        </w:rPr>
        <w:t>Faute dolosive</w:t>
      </w:r>
    </w:p>
    <w:p w14:paraId="5D3CD0C1" w14:textId="77777777" w:rsidR="00F720FF" w:rsidRDefault="00F720FF" w:rsidP="00F720FF">
      <w:pPr>
        <w:spacing w:after="0"/>
        <w:jc w:val="both"/>
        <w:rPr>
          <w:rFonts w:eastAsia="Kalinga" w:cstheme="minorHAnsi"/>
          <w:sz w:val="24"/>
          <w:szCs w:val="24"/>
        </w:rPr>
      </w:pPr>
    </w:p>
    <w:p w14:paraId="463FE1C0" w14:textId="33AB1C59" w:rsidR="00F720FF" w:rsidRDefault="00F720FF" w:rsidP="00F720FF">
      <w:pPr>
        <w:spacing w:after="0"/>
        <w:jc w:val="both"/>
        <w:rPr>
          <w:rFonts w:cstheme="minorHAnsi"/>
          <w:sz w:val="24"/>
          <w:szCs w:val="24"/>
          <w:shd w:val="clear" w:color="auto" w:fill="FFFFFF"/>
        </w:rPr>
      </w:pPr>
      <w:r w:rsidRPr="00F720FF">
        <w:rPr>
          <w:rFonts w:eastAsia="Kalinga" w:cstheme="minorHAnsi"/>
          <w:b/>
          <w:bCs/>
          <w:sz w:val="24"/>
          <w:szCs w:val="24"/>
          <w:u w:val="single"/>
        </w:rPr>
        <w:t>Cass.civ 2</w:t>
      </w:r>
      <w:r w:rsidRPr="00F720FF">
        <w:rPr>
          <w:rFonts w:eastAsia="Kalinga" w:cstheme="minorHAnsi"/>
          <w:b/>
          <w:bCs/>
          <w:sz w:val="24"/>
          <w:szCs w:val="24"/>
          <w:u w:val="single"/>
          <w:vertAlign w:val="superscript"/>
        </w:rPr>
        <w:t>ème</w:t>
      </w:r>
      <w:r w:rsidRPr="00F720FF">
        <w:rPr>
          <w:rFonts w:eastAsia="Kalinga" w:cstheme="minorHAnsi"/>
          <w:b/>
          <w:bCs/>
          <w:sz w:val="24"/>
          <w:szCs w:val="24"/>
          <w:u w:val="single"/>
        </w:rPr>
        <w:t>, 14 mars 2024, n°22-18.426</w:t>
      </w:r>
      <w:r>
        <w:rPr>
          <w:rFonts w:eastAsia="Kalinga" w:cstheme="minorHAnsi"/>
          <w:b/>
          <w:bCs/>
          <w:sz w:val="24"/>
          <w:szCs w:val="24"/>
          <w:u w:val="single"/>
        </w:rPr>
        <w:t> :</w:t>
      </w:r>
      <w:r w:rsidR="006741EA">
        <w:rPr>
          <w:rFonts w:eastAsia="Kalinga" w:cstheme="minorHAnsi"/>
          <w:b/>
          <w:bCs/>
          <w:sz w:val="24"/>
          <w:szCs w:val="24"/>
          <w:u w:val="single"/>
        </w:rPr>
        <w:t xml:space="preserve"> </w:t>
      </w:r>
      <w:r w:rsidR="006741EA" w:rsidRPr="006741EA">
        <w:rPr>
          <w:rFonts w:cstheme="minorHAnsi"/>
          <w:sz w:val="24"/>
          <w:szCs w:val="24"/>
          <w:shd w:val="clear" w:color="auto" w:fill="FFFFFF"/>
        </w:rPr>
        <w:t>Selon l'article L. 113-1, alinéa 2, du code des assurances , l'assureur ne répond pas des pertes et dommages provenant d'une faute intentionnelle ou dolosive de l'assuré. La faute dolosive s'entend d'un acte délibéré de l'assuré commis avec la conscience du caractère inéluctable de ses conséquences dommageables, et ne se confond pas avec la conscience du risque d'occasionner le dommage</w:t>
      </w:r>
      <w:r w:rsidR="00D74836">
        <w:rPr>
          <w:rFonts w:cstheme="minorHAnsi"/>
          <w:sz w:val="24"/>
          <w:szCs w:val="24"/>
          <w:shd w:val="clear" w:color="auto" w:fill="FFFFFF"/>
        </w:rPr>
        <w:t>.</w:t>
      </w:r>
    </w:p>
    <w:p w14:paraId="1E8563A0" w14:textId="77777777" w:rsidR="00D74836" w:rsidRDefault="00D74836" w:rsidP="00F720FF">
      <w:pPr>
        <w:spacing w:after="0"/>
        <w:jc w:val="both"/>
        <w:rPr>
          <w:rFonts w:cstheme="minorHAnsi"/>
          <w:sz w:val="24"/>
          <w:szCs w:val="24"/>
          <w:shd w:val="clear" w:color="auto" w:fill="FFFFFF"/>
        </w:rPr>
      </w:pPr>
    </w:p>
    <w:p w14:paraId="3A5A9290" w14:textId="77777777" w:rsidR="00D74836" w:rsidRDefault="00D74836" w:rsidP="00F720FF">
      <w:pPr>
        <w:spacing w:after="0"/>
        <w:jc w:val="both"/>
        <w:rPr>
          <w:rFonts w:cstheme="minorHAnsi"/>
          <w:sz w:val="24"/>
          <w:szCs w:val="24"/>
          <w:shd w:val="clear" w:color="auto" w:fill="FFFFFF"/>
        </w:rPr>
      </w:pPr>
    </w:p>
    <w:p w14:paraId="0A8414EC" w14:textId="6FAEB395" w:rsidR="00574F7E" w:rsidRPr="00F304DF" w:rsidRDefault="00574F7E" w:rsidP="00574F7E">
      <w:pPr>
        <w:pStyle w:val="Sansinterligne"/>
        <w:rPr>
          <w:b/>
          <w:bCs/>
        </w:rPr>
      </w:pPr>
      <w:r>
        <w:tab/>
      </w:r>
      <w:r>
        <w:tab/>
      </w:r>
      <w:r>
        <w:tab/>
      </w:r>
      <w:r>
        <w:tab/>
      </w:r>
      <w:r>
        <w:tab/>
      </w:r>
      <w:r>
        <w:tab/>
      </w:r>
      <w:r>
        <w:tab/>
        <w:t xml:space="preserve">   </w:t>
      </w:r>
      <w:r w:rsidRPr="00F304DF">
        <w:rPr>
          <w:b/>
          <w:bCs/>
        </w:rPr>
        <w:t>Béatrice BOBET</w:t>
      </w:r>
    </w:p>
    <w:p w14:paraId="51919C58" w14:textId="15439A1D" w:rsidR="00574F7E" w:rsidRPr="00F304DF" w:rsidRDefault="00574F7E" w:rsidP="00574F7E">
      <w:pPr>
        <w:pStyle w:val="Sansinterligne"/>
        <w:rPr>
          <w:b/>
          <w:bCs/>
        </w:rPr>
      </w:pPr>
      <w:r w:rsidRPr="00F304DF">
        <w:rPr>
          <w:b/>
          <w:bCs/>
        </w:rPr>
        <w:tab/>
      </w:r>
      <w:r w:rsidRPr="00F304DF">
        <w:rPr>
          <w:b/>
          <w:bCs/>
        </w:rPr>
        <w:tab/>
      </w:r>
      <w:r w:rsidRPr="00F304DF">
        <w:rPr>
          <w:b/>
          <w:bCs/>
        </w:rPr>
        <w:tab/>
      </w:r>
      <w:r w:rsidRPr="00F304DF">
        <w:rPr>
          <w:b/>
          <w:bCs/>
        </w:rPr>
        <w:tab/>
      </w:r>
      <w:r w:rsidRPr="00F304DF">
        <w:rPr>
          <w:b/>
          <w:bCs/>
        </w:rPr>
        <w:tab/>
      </w:r>
      <w:r w:rsidRPr="00F304DF">
        <w:rPr>
          <w:b/>
          <w:bCs/>
        </w:rPr>
        <w:tab/>
        <w:t xml:space="preserve">Avocat associé </w:t>
      </w:r>
      <w:r w:rsidR="00F304DF" w:rsidRPr="00F304DF">
        <w:rPr>
          <w:b/>
          <w:bCs/>
        </w:rPr>
        <w:t>KASTEL Avocats (AARPI)</w:t>
      </w:r>
    </w:p>
    <w:p w14:paraId="2A847EBA" w14:textId="75671E8D" w:rsidR="00574F7E" w:rsidRPr="00F304DF" w:rsidRDefault="00574F7E" w:rsidP="00574F7E">
      <w:pPr>
        <w:pStyle w:val="Sansinterligne"/>
        <w:rPr>
          <w:i/>
          <w:iCs/>
        </w:rPr>
      </w:pPr>
      <w:r>
        <w:tab/>
      </w:r>
      <w:r>
        <w:tab/>
      </w:r>
      <w:r>
        <w:tab/>
      </w:r>
      <w:r>
        <w:tab/>
      </w:r>
      <w:r>
        <w:tab/>
      </w:r>
      <w:r>
        <w:tab/>
      </w:r>
      <w:r w:rsidR="00F304DF">
        <w:t xml:space="preserve">     </w:t>
      </w:r>
      <w:r w:rsidR="00F304DF" w:rsidRPr="00F304DF">
        <w:rPr>
          <w:i/>
          <w:iCs/>
        </w:rPr>
        <w:t>S</w:t>
      </w:r>
      <w:r w:rsidRPr="00F304DF">
        <w:rPr>
          <w:i/>
          <w:iCs/>
        </w:rPr>
        <w:t>pécialiste en droit immobilier</w:t>
      </w:r>
    </w:p>
    <w:p w14:paraId="4A11A3E8" w14:textId="18189F31" w:rsidR="00574F7E" w:rsidRPr="00F304DF" w:rsidRDefault="00574F7E" w:rsidP="00574F7E">
      <w:pPr>
        <w:pStyle w:val="Sansinterligne"/>
        <w:rPr>
          <w:i/>
          <w:iCs/>
        </w:rPr>
      </w:pPr>
      <w:r w:rsidRPr="00F304DF">
        <w:rPr>
          <w:i/>
          <w:iCs/>
        </w:rPr>
        <w:tab/>
      </w:r>
      <w:r w:rsidRPr="00F304DF">
        <w:rPr>
          <w:i/>
          <w:iCs/>
        </w:rPr>
        <w:tab/>
      </w:r>
      <w:r w:rsidRPr="00F304DF">
        <w:rPr>
          <w:i/>
          <w:iCs/>
        </w:rPr>
        <w:tab/>
      </w:r>
      <w:r w:rsidRPr="00F304DF">
        <w:rPr>
          <w:i/>
          <w:iCs/>
        </w:rPr>
        <w:tab/>
      </w:r>
      <w:r w:rsidRPr="00F304DF">
        <w:rPr>
          <w:i/>
          <w:iCs/>
        </w:rPr>
        <w:tab/>
        <w:t xml:space="preserve">    Qualification spécifique en droit de la construction</w:t>
      </w:r>
    </w:p>
    <w:p w14:paraId="3082143F" w14:textId="77777777" w:rsidR="004356D5" w:rsidRDefault="004356D5" w:rsidP="00613251">
      <w:pPr>
        <w:pStyle w:val="Sansinterligne"/>
        <w:jc w:val="both"/>
        <w:rPr>
          <w:shd w:val="clear" w:color="auto" w:fill="FFFFFF"/>
        </w:rPr>
      </w:pPr>
    </w:p>
    <w:p w14:paraId="34E21C27" w14:textId="77777777" w:rsidR="00613251" w:rsidRPr="00613251" w:rsidRDefault="00613251" w:rsidP="00613251">
      <w:pPr>
        <w:pStyle w:val="Sansinterligne"/>
        <w:jc w:val="both"/>
      </w:pPr>
    </w:p>
    <w:sectPr w:rsidR="00613251" w:rsidRPr="00613251">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2A608" w14:textId="77777777" w:rsidR="00D75FEE" w:rsidRDefault="00D75FEE" w:rsidP="002D3CC5">
      <w:pPr>
        <w:spacing w:after="0" w:line="240" w:lineRule="auto"/>
      </w:pPr>
      <w:r>
        <w:separator/>
      </w:r>
    </w:p>
  </w:endnote>
  <w:endnote w:type="continuationSeparator" w:id="0">
    <w:p w14:paraId="63F4ABCB" w14:textId="77777777" w:rsidR="00D75FEE" w:rsidRDefault="00D75FEE" w:rsidP="002D3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Kalinga">
    <w:charset w:val="00"/>
    <w:family w:val="swiss"/>
    <w:pitch w:val="variable"/>
    <w:sig w:usb0="0008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3377395"/>
      <w:docPartObj>
        <w:docPartGallery w:val="Page Numbers (Bottom of Page)"/>
        <w:docPartUnique/>
      </w:docPartObj>
    </w:sdtPr>
    <w:sdtContent>
      <w:sdt>
        <w:sdtPr>
          <w:id w:val="-1769616900"/>
          <w:docPartObj>
            <w:docPartGallery w:val="Page Numbers (Top of Page)"/>
            <w:docPartUnique/>
          </w:docPartObj>
        </w:sdtPr>
        <w:sdtContent>
          <w:p w14:paraId="76284B8B" w14:textId="6256E45C" w:rsidR="002D3CC5" w:rsidRDefault="002D3CC5">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EFFD65F" w14:textId="77777777" w:rsidR="002D3CC5" w:rsidRDefault="002D3CC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840D4" w14:textId="77777777" w:rsidR="00D75FEE" w:rsidRDefault="00D75FEE" w:rsidP="002D3CC5">
      <w:pPr>
        <w:spacing w:after="0" w:line="240" w:lineRule="auto"/>
      </w:pPr>
      <w:r>
        <w:separator/>
      </w:r>
    </w:p>
  </w:footnote>
  <w:footnote w:type="continuationSeparator" w:id="0">
    <w:p w14:paraId="54A53EB7" w14:textId="77777777" w:rsidR="00D75FEE" w:rsidRDefault="00D75FEE" w:rsidP="002D3C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50DE1"/>
    <w:multiLevelType w:val="hybridMultilevel"/>
    <w:tmpl w:val="178CDCD4"/>
    <w:lvl w:ilvl="0" w:tplc="AB3A60B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642FC2"/>
    <w:multiLevelType w:val="hybridMultilevel"/>
    <w:tmpl w:val="CC2E985A"/>
    <w:lvl w:ilvl="0" w:tplc="1C00B4BE">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15:restartNumberingAfterBreak="0">
    <w:nsid w:val="0965245B"/>
    <w:multiLevelType w:val="hybridMultilevel"/>
    <w:tmpl w:val="5AEEE604"/>
    <w:lvl w:ilvl="0" w:tplc="DB38B42A">
      <w:start w:val="1"/>
      <w:numFmt w:val="bullet"/>
      <w:lvlText w:val=""/>
      <w:lvlJc w:val="left"/>
      <w:pPr>
        <w:ind w:left="720" w:hanging="360"/>
      </w:pPr>
      <w:rPr>
        <w:rFonts w:ascii="Wingdings" w:hAnsi="Wingdings" w:hint="default"/>
      </w:rPr>
    </w:lvl>
    <w:lvl w:ilvl="1" w:tplc="DB38B42A">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1496072"/>
    <w:multiLevelType w:val="hybridMultilevel"/>
    <w:tmpl w:val="4E68404C"/>
    <w:lvl w:ilvl="0" w:tplc="1C00B4BE">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5BE5D19"/>
    <w:multiLevelType w:val="hybridMultilevel"/>
    <w:tmpl w:val="8CAC23D8"/>
    <w:lvl w:ilvl="0" w:tplc="C366D84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9EA68B6"/>
    <w:multiLevelType w:val="hybridMultilevel"/>
    <w:tmpl w:val="CE8AFB38"/>
    <w:lvl w:ilvl="0" w:tplc="1C00B4BE">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BD167E0"/>
    <w:multiLevelType w:val="hybridMultilevel"/>
    <w:tmpl w:val="C2688D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0E47237"/>
    <w:multiLevelType w:val="hybridMultilevel"/>
    <w:tmpl w:val="F6245516"/>
    <w:lvl w:ilvl="0" w:tplc="7F6499CC">
      <w:start w:val="5"/>
      <w:numFmt w:val="bullet"/>
      <w:lvlText w:val="-"/>
      <w:lvlJc w:val="left"/>
      <w:pPr>
        <w:ind w:left="720" w:hanging="360"/>
      </w:pPr>
      <w:rPr>
        <w:rFonts w:ascii="Arial Narrow" w:eastAsia="Times New Roman"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6E31A67"/>
    <w:multiLevelType w:val="hybridMultilevel"/>
    <w:tmpl w:val="184804A2"/>
    <w:lvl w:ilvl="0" w:tplc="D544545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6F65BD9"/>
    <w:multiLevelType w:val="hybridMultilevel"/>
    <w:tmpl w:val="A02A05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8452136"/>
    <w:multiLevelType w:val="hybridMultilevel"/>
    <w:tmpl w:val="7B0C0FB0"/>
    <w:lvl w:ilvl="0" w:tplc="AB3A60B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8BB43B5"/>
    <w:multiLevelType w:val="hybridMultilevel"/>
    <w:tmpl w:val="68F64664"/>
    <w:lvl w:ilvl="0" w:tplc="C366D84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4695DD8"/>
    <w:multiLevelType w:val="hybridMultilevel"/>
    <w:tmpl w:val="74F6958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58F7EE9"/>
    <w:multiLevelType w:val="hybridMultilevel"/>
    <w:tmpl w:val="05FC0908"/>
    <w:lvl w:ilvl="0" w:tplc="4050C0AA">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19B2300"/>
    <w:multiLevelType w:val="hybridMultilevel"/>
    <w:tmpl w:val="DE54BC34"/>
    <w:lvl w:ilvl="0" w:tplc="C366D84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39156F1"/>
    <w:multiLevelType w:val="hybridMultilevel"/>
    <w:tmpl w:val="DF926F08"/>
    <w:lvl w:ilvl="0" w:tplc="C366D84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7484F2C"/>
    <w:multiLevelType w:val="hybridMultilevel"/>
    <w:tmpl w:val="9252D34C"/>
    <w:lvl w:ilvl="0" w:tplc="D544545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9A030EB"/>
    <w:multiLevelType w:val="hybridMultilevel"/>
    <w:tmpl w:val="22B02712"/>
    <w:lvl w:ilvl="0" w:tplc="C366D84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4DB1DBC"/>
    <w:multiLevelType w:val="hybridMultilevel"/>
    <w:tmpl w:val="CB8652C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5B5D4EC3"/>
    <w:multiLevelType w:val="hybridMultilevel"/>
    <w:tmpl w:val="BCBAB752"/>
    <w:lvl w:ilvl="0" w:tplc="0590AEA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4EA2F46"/>
    <w:multiLevelType w:val="hybridMultilevel"/>
    <w:tmpl w:val="7E62E224"/>
    <w:lvl w:ilvl="0" w:tplc="D6E46E48">
      <w:start w:val="1"/>
      <w:numFmt w:val="bullet"/>
      <w:lvlText w:val=""/>
      <w:lvlJc w:val="left"/>
      <w:pPr>
        <w:ind w:left="720" w:hanging="360"/>
      </w:pPr>
      <w:rPr>
        <w:rFonts w:ascii="Wingdings 2" w:hAnsi="Wingdings 2"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D0B0191"/>
    <w:multiLevelType w:val="hybridMultilevel"/>
    <w:tmpl w:val="760AE7C2"/>
    <w:lvl w:ilvl="0" w:tplc="FE1AE328">
      <w:start w:val="1"/>
      <w:numFmt w:val="bullet"/>
      <w:lvlText w:val=""/>
      <w:lvlJc w:val="left"/>
      <w:pPr>
        <w:ind w:left="720" w:hanging="360"/>
      </w:pPr>
      <w:rPr>
        <w:rFonts w:ascii="Wingdings"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08E5286"/>
    <w:multiLevelType w:val="hybridMultilevel"/>
    <w:tmpl w:val="711CD252"/>
    <w:lvl w:ilvl="0" w:tplc="AB3A60B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2FC767F"/>
    <w:multiLevelType w:val="hybridMultilevel"/>
    <w:tmpl w:val="6258218A"/>
    <w:lvl w:ilvl="0" w:tplc="1C00B4BE">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A0262EC"/>
    <w:multiLevelType w:val="hybridMultilevel"/>
    <w:tmpl w:val="68EA6A5C"/>
    <w:lvl w:ilvl="0" w:tplc="C366D84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59480206">
    <w:abstractNumId w:val="10"/>
  </w:num>
  <w:num w:numId="2" w16cid:durableId="1018854733">
    <w:abstractNumId w:val="12"/>
  </w:num>
  <w:num w:numId="3" w16cid:durableId="2003466568">
    <w:abstractNumId w:val="4"/>
  </w:num>
  <w:num w:numId="4" w16cid:durableId="1141995631">
    <w:abstractNumId w:val="24"/>
  </w:num>
  <w:num w:numId="5" w16cid:durableId="1790204611">
    <w:abstractNumId w:val="14"/>
  </w:num>
  <w:num w:numId="6" w16cid:durableId="1144078938">
    <w:abstractNumId w:val="11"/>
  </w:num>
  <w:num w:numId="7" w16cid:durableId="211693466">
    <w:abstractNumId w:val="19"/>
  </w:num>
  <w:num w:numId="8" w16cid:durableId="1603369266">
    <w:abstractNumId w:val="18"/>
  </w:num>
  <w:num w:numId="9" w16cid:durableId="1060783024">
    <w:abstractNumId w:val="21"/>
  </w:num>
  <w:num w:numId="10" w16cid:durableId="42293540">
    <w:abstractNumId w:val="23"/>
  </w:num>
  <w:num w:numId="11" w16cid:durableId="1001278407">
    <w:abstractNumId w:val="20"/>
  </w:num>
  <w:num w:numId="12" w16cid:durableId="315692968">
    <w:abstractNumId w:val="16"/>
  </w:num>
  <w:num w:numId="13" w16cid:durableId="1149129583">
    <w:abstractNumId w:val="7"/>
  </w:num>
  <w:num w:numId="14" w16cid:durableId="283854275">
    <w:abstractNumId w:val="1"/>
  </w:num>
  <w:num w:numId="15" w16cid:durableId="1031078052">
    <w:abstractNumId w:val="13"/>
  </w:num>
  <w:num w:numId="16" w16cid:durableId="581064215">
    <w:abstractNumId w:val="2"/>
  </w:num>
  <w:num w:numId="17" w16cid:durableId="684746082">
    <w:abstractNumId w:val="15"/>
  </w:num>
  <w:num w:numId="18" w16cid:durableId="2108383856">
    <w:abstractNumId w:val="6"/>
  </w:num>
  <w:num w:numId="19" w16cid:durableId="853105227">
    <w:abstractNumId w:val="8"/>
  </w:num>
  <w:num w:numId="20" w16cid:durableId="1048455337">
    <w:abstractNumId w:val="3"/>
  </w:num>
  <w:num w:numId="21" w16cid:durableId="1617637026">
    <w:abstractNumId w:val="17"/>
  </w:num>
  <w:num w:numId="22" w16cid:durableId="2002419234">
    <w:abstractNumId w:val="9"/>
  </w:num>
  <w:num w:numId="23" w16cid:durableId="1480220865">
    <w:abstractNumId w:val="5"/>
  </w:num>
  <w:num w:numId="24" w16cid:durableId="262081612">
    <w:abstractNumId w:val="0"/>
  </w:num>
  <w:num w:numId="25" w16cid:durableId="209088067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E32"/>
    <w:rsid w:val="00001199"/>
    <w:rsid w:val="000062F4"/>
    <w:rsid w:val="0001278C"/>
    <w:rsid w:val="00036E19"/>
    <w:rsid w:val="00067FC0"/>
    <w:rsid w:val="00095CCC"/>
    <w:rsid w:val="000B3CE2"/>
    <w:rsid w:val="000B4978"/>
    <w:rsid w:val="000B7207"/>
    <w:rsid w:val="000C3800"/>
    <w:rsid w:val="000D4FF7"/>
    <w:rsid w:val="0010134F"/>
    <w:rsid w:val="00105D6F"/>
    <w:rsid w:val="00115EBD"/>
    <w:rsid w:val="001169CD"/>
    <w:rsid w:val="001235D6"/>
    <w:rsid w:val="0013619A"/>
    <w:rsid w:val="00146B55"/>
    <w:rsid w:val="00156D78"/>
    <w:rsid w:val="00162F04"/>
    <w:rsid w:val="00163326"/>
    <w:rsid w:val="00177A19"/>
    <w:rsid w:val="00187B99"/>
    <w:rsid w:val="001910FE"/>
    <w:rsid w:val="001945B1"/>
    <w:rsid w:val="001A541A"/>
    <w:rsid w:val="001A69AE"/>
    <w:rsid w:val="001C4DB5"/>
    <w:rsid w:val="001C5E32"/>
    <w:rsid w:val="001E09D4"/>
    <w:rsid w:val="001E5766"/>
    <w:rsid w:val="00205182"/>
    <w:rsid w:val="00206516"/>
    <w:rsid w:val="00214096"/>
    <w:rsid w:val="002315FE"/>
    <w:rsid w:val="00241028"/>
    <w:rsid w:val="002452B9"/>
    <w:rsid w:val="0024576D"/>
    <w:rsid w:val="00250ADC"/>
    <w:rsid w:val="0025258E"/>
    <w:rsid w:val="00266958"/>
    <w:rsid w:val="00270E77"/>
    <w:rsid w:val="002925BA"/>
    <w:rsid w:val="00297A0B"/>
    <w:rsid w:val="002A0464"/>
    <w:rsid w:val="002A0AAC"/>
    <w:rsid w:val="002A478F"/>
    <w:rsid w:val="002B2881"/>
    <w:rsid w:val="002B3328"/>
    <w:rsid w:val="002B7979"/>
    <w:rsid w:val="002D3A35"/>
    <w:rsid w:val="002D3CC5"/>
    <w:rsid w:val="002E3E86"/>
    <w:rsid w:val="002E46A2"/>
    <w:rsid w:val="002E70C1"/>
    <w:rsid w:val="002F5DDF"/>
    <w:rsid w:val="003078FB"/>
    <w:rsid w:val="00333560"/>
    <w:rsid w:val="00344CB0"/>
    <w:rsid w:val="00350556"/>
    <w:rsid w:val="00370867"/>
    <w:rsid w:val="00374E68"/>
    <w:rsid w:val="00376E1F"/>
    <w:rsid w:val="00380D15"/>
    <w:rsid w:val="003847E0"/>
    <w:rsid w:val="003A1093"/>
    <w:rsid w:val="003C0EEE"/>
    <w:rsid w:val="003C67D9"/>
    <w:rsid w:val="003E68A1"/>
    <w:rsid w:val="00413B26"/>
    <w:rsid w:val="004356D5"/>
    <w:rsid w:val="00455DC1"/>
    <w:rsid w:val="0046619D"/>
    <w:rsid w:val="00471A6E"/>
    <w:rsid w:val="00496F42"/>
    <w:rsid w:val="004A7C42"/>
    <w:rsid w:val="004B254E"/>
    <w:rsid w:val="004B6744"/>
    <w:rsid w:val="004B71FF"/>
    <w:rsid w:val="004E6388"/>
    <w:rsid w:val="004E6638"/>
    <w:rsid w:val="004F4D05"/>
    <w:rsid w:val="0050224D"/>
    <w:rsid w:val="00510198"/>
    <w:rsid w:val="00513260"/>
    <w:rsid w:val="0052073E"/>
    <w:rsid w:val="00523067"/>
    <w:rsid w:val="0052752D"/>
    <w:rsid w:val="00534888"/>
    <w:rsid w:val="005351B5"/>
    <w:rsid w:val="0055330A"/>
    <w:rsid w:val="005631AE"/>
    <w:rsid w:val="00574F7E"/>
    <w:rsid w:val="0058639A"/>
    <w:rsid w:val="00595BF5"/>
    <w:rsid w:val="005D4F0D"/>
    <w:rsid w:val="005E0504"/>
    <w:rsid w:val="005E6280"/>
    <w:rsid w:val="005F1BA1"/>
    <w:rsid w:val="005F7E4D"/>
    <w:rsid w:val="00613251"/>
    <w:rsid w:val="00617272"/>
    <w:rsid w:val="00640ADF"/>
    <w:rsid w:val="006426DC"/>
    <w:rsid w:val="00647865"/>
    <w:rsid w:val="00664AF1"/>
    <w:rsid w:val="00673EF1"/>
    <w:rsid w:val="006741EA"/>
    <w:rsid w:val="0069506F"/>
    <w:rsid w:val="006A1383"/>
    <w:rsid w:val="006A7B1E"/>
    <w:rsid w:val="006C04CE"/>
    <w:rsid w:val="006D1E52"/>
    <w:rsid w:val="006D468B"/>
    <w:rsid w:val="006D5FCC"/>
    <w:rsid w:val="006E3BA6"/>
    <w:rsid w:val="007021F4"/>
    <w:rsid w:val="00702BA3"/>
    <w:rsid w:val="00720374"/>
    <w:rsid w:val="00731FCC"/>
    <w:rsid w:val="007354D1"/>
    <w:rsid w:val="00741023"/>
    <w:rsid w:val="007471BA"/>
    <w:rsid w:val="007517A1"/>
    <w:rsid w:val="00763AC3"/>
    <w:rsid w:val="00772313"/>
    <w:rsid w:val="007726D9"/>
    <w:rsid w:val="00781763"/>
    <w:rsid w:val="00781EE4"/>
    <w:rsid w:val="0079266F"/>
    <w:rsid w:val="007A195A"/>
    <w:rsid w:val="007A27D4"/>
    <w:rsid w:val="007B274D"/>
    <w:rsid w:val="007B77DA"/>
    <w:rsid w:val="007E1B05"/>
    <w:rsid w:val="007F50DA"/>
    <w:rsid w:val="00800D06"/>
    <w:rsid w:val="00813043"/>
    <w:rsid w:val="0081384A"/>
    <w:rsid w:val="00814F79"/>
    <w:rsid w:val="00820DD0"/>
    <w:rsid w:val="00823A07"/>
    <w:rsid w:val="00825364"/>
    <w:rsid w:val="00825B83"/>
    <w:rsid w:val="00844970"/>
    <w:rsid w:val="00855B62"/>
    <w:rsid w:val="00856724"/>
    <w:rsid w:val="008609F1"/>
    <w:rsid w:val="008711FC"/>
    <w:rsid w:val="0088026A"/>
    <w:rsid w:val="008B49A1"/>
    <w:rsid w:val="008C2E5D"/>
    <w:rsid w:val="008D243F"/>
    <w:rsid w:val="008D5038"/>
    <w:rsid w:val="008F05C6"/>
    <w:rsid w:val="008F7E22"/>
    <w:rsid w:val="009012B3"/>
    <w:rsid w:val="0091620A"/>
    <w:rsid w:val="00921E0A"/>
    <w:rsid w:val="0092466A"/>
    <w:rsid w:val="00933BC7"/>
    <w:rsid w:val="00941315"/>
    <w:rsid w:val="00941679"/>
    <w:rsid w:val="009527E9"/>
    <w:rsid w:val="009607D0"/>
    <w:rsid w:val="009729F3"/>
    <w:rsid w:val="0097719E"/>
    <w:rsid w:val="009A7ACA"/>
    <w:rsid w:val="009A7E82"/>
    <w:rsid w:val="009B623B"/>
    <w:rsid w:val="009C19DF"/>
    <w:rsid w:val="009C3416"/>
    <w:rsid w:val="009E3641"/>
    <w:rsid w:val="009E533C"/>
    <w:rsid w:val="009F6056"/>
    <w:rsid w:val="00A1039E"/>
    <w:rsid w:val="00A26EE8"/>
    <w:rsid w:val="00A27CE7"/>
    <w:rsid w:val="00A344CB"/>
    <w:rsid w:val="00A55C03"/>
    <w:rsid w:val="00A75BD2"/>
    <w:rsid w:val="00A844C2"/>
    <w:rsid w:val="00A94402"/>
    <w:rsid w:val="00A94517"/>
    <w:rsid w:val="00A948F4"/>
    <w:rsid w:val="00AB14B1"/>
    <w:rsid w:val="00AC6BA3"/>
    <w:rsid w:val="00AD409D"/>
    <w:rsid w:val="00AE2D16"/>
    <w:rsid w:val="00AE44DE"/>
    <w:rsid w:val="00B165ED"/>
    <w:rsid w:val="00B20112"/>
    <w:rsid w:val="00B20372"/>
    <w:rsid w:val="00B2703A"/>
    <w:rsid w:val="00B31FFC"/>
    <w:rsid w:val="00B375DC"/>
    <w:rsid w:val="00B45E3D"/>
    <w:rsid w:val="00B63914"/>
    <w:rsid w:val="00B64635"/>
    <w:rsid w:val="00B67679"/>
    <w:rsid w:val="00B67D79"/>
    <w:rsid w:val="00B751BB"/>
    <w:rsid w:val="00B87A0D"/>
    <w:rsid w:val="00B91362"/>
    <w:rsid w:val="00B948F5"/>
    <w:rsid w:val="00B96E41"/>
    <w:rsid w:val="00BA4A40"/>
    <w:rsid w:val="00BA66C4"/>
    <w:rsid w:val="00BD2A0E"/>
    <w:rsid w:val="00BD4141"/>
    <w:rsid w:val="00BD4C89"/>
    <w:rsid w:val="00BD64DE"/>
    <w:rsid w:val="00BF0482"/>
    <w:rsid w:val="00BF518F"/>
    <w:rsid w:val="00C02516"/>
    <w:rsid w:val="00C07791"/>
    <w:rsid w:val="00C233A9"/>
    <w:rsid w:val="00C2461C"/>
    <w:rsid w:val="00C30EBD"/>
    <w:rsid w:val="00C52E5C"/>
    <w:rsid w:val="00C552F5"/>
    <w:rsid w:val="00CA57F4"/>
    <w:rsid w:val="00CA63FC"/>
    <w:rsid w:val="00CB304A"/>
    <w:rsid w:val="00CB6CEF"/>
    <w:rsid w:val="00CD4D67"/>
    <w:rsid w:val="00CF060D"/>
    <w:rsid w:val="00CF06E9"/>
    <w:rsid w:val="00D071A4"/>
    <w:rsid w:val="00D15719"/>
    <w:rsid w:val="00D351B7"/>
    <w:rsid w:val="00D36558"/>
    <w:rsid w:val="00D415C2"/>
    <w:rsid w:val="00D41EDD"/>
    <w:rsid w:val="00D511B9"/>
    <w:rsid w:val="00D633C9"/>
    <w:rsid w:val="00D650CC"/>
    <w:rsid w:val="00D74836"/>
    <w:rsid w:val="00D75FEE"/>
    <w:rsid w:val="00D80B4A"/>
    <w:rsid w:val="00D81786"/>
    <w:rsid w:val="00D91346"/>
    <w:rsid w:val="00D92C96"/>
    <w:rsid w:val="00DA5D8B"/>
    <w:rsid w:val="00DC0BE9"/>
    <w:rsid w:val="00DE0C8C"/>
    <w:rsid w:val="00DE39B0"/>
    <w:rsid w:val="00E040F1"/>
    <w:rsid w:val="00E05522"/>
    <w:rsid w:val="00E20A81"/>
    <w:rsid w:val="00E3136F"/>
    <w:rsid w:val="00E44428"/>
    <w:rsid w:val="00E534E2"/>
    <w:rsid w:val="00E558C5"/>
    <w:rsid w:val="00E56445"/>
    <w:rsid w:val="00E57E32"/>
    <w:rsid w:val="00E57FA8"/>
    <w:rsid w:val="00E60380"/>
    <w:rsid w:val="00E741F1"/>
    <w:rsid w:val="00E81705"/>
    <w:rsid w:val="00E90DA2"/>
    <w:rsid w:val="00EA6D0E"/>
    <w:rsid w:val="00EB79EC"/>
    <w:rsid w:val="00EF0D28"/>
    <w:rsid w:val="00F14DD8"/>
    <w:rsid w:val="00F17135"/>
    <w:rsid w:val="00F304DF"/>
    <w:rsid w:val="00F31D50"/>
    <w:rsid w:val="00F3446F"/>
    <w:rsid w:val="00F349FB"/>
    <w:rsid w:val="00F403BC"/>
    <w:rsid w:val="00F620D4"/>
    <w:rsid w:val="00F720FF"/>
    <w:rsid w:val="00F81593"/>
    <w:rsid w:val="00F86AC7"/>
    <w:rsid w:val="00F90B46"/>
    <w:rsid w:val="00F92E74"/>
    <w:rsid w:val="00FA1B28"/>
    <w:rsid w:val="00FC3B53"/>
    <w:rsid w:val="00FE34EB"/>
    <w:rsid w:val="00FE661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6508A"/>
  <w15:chartTrackingRefBased/>
  <w15:docId w15:val="{C6DEDA8C-11B6-4C95-AF42-4C72A2103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57E32"/>
    <w:pPr>
      <w:ind w:left="720"/>
      <w:contextualSpacing/>
    </w:pPr>
  </w:style>
  <w:style w:type="paragraph" w:styleId="Sansinterligne">
    <w:name w:val="No Spacing"/>
    <w:uiPriority w:val="1"/>
    <w:qFormat/>
    <w:rsid w:val="009527E9"/>
    <w:pPr>
      <w:spacing w:after="0" w:line="240" w:lineRule="auto"/>
    </w:pPr>
  </w:style>
  <w:style w:type="character" w:customStyle="1" w:styleId="m-data-arret">
    <w:name w:val="m-data-arret"/>
    <w:basedOn w:val="Policepardfaut"/>
    <w:rsid w:val="004356D5"/>
  </w:style>
  <w:style w:type="character" w:styleId="Lienhypertexte">
    <w:name w:val="Hyperlink"/>
    <w:basedOn w:val="Policepardfaut"/>
    <w:uiPriority w:val="99"/>
    <w:semiHidden/>
    <w:unhideWhenUsed/>
    <w:rsid w:val="004356D5"/>
    <w:rPr>
      <w:color w:val="0000FF"/>
      <w:u w:val="single"/>
    </w:rPr>
  </w:style>
  <w:style w:type="character" w:styleId="lev">
    <w:name w:val="Strong"/>
    <w:basedOn w:val="Policepardfaut"/>
    <w:uiPriority w:val="22"/>
    <w:qFormat/>
    <w:rsid w:val="008D5038"/>
    <w:rPr>
      <w:b/>
      <w:bCs/>
    </w:rPr>
  </w:style>
  <w:style w:type="character" w:customStyle="1" w:styleId="highlight">
    <w:name w:val="highlight"/>
    <w:basedOn w:val="Policepardfaut"/>
    <w:rsid w:val="0058639A"/>
  </w:style>
  <w:style w:type="paragraph" w:styleId="NormalWeb">
    <w:name w:val="Normal (Web)"/>
    <w:basedOn w:val="Normal"/>
    <w:uiPriority w:val="99"/>
    <w:semiHidden/>
    <w:unhideWhenUsed/>
    <w:rsid w:val="002A0464"/>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 w:type="character" w:customStyle="1" w:styleId="m-data-visa">
    <w:name w:val="m-data-visa"/>
    <w:basedOn w:val="Policepardfaut"/>
    <w:rsid w:val="00A55C03"/>
  </w:style>
  <w:style w:type="paragraph" w:styleId="Citation">
    <w:name w:val="Quote"/>
    <w:basedOn w:val="Normal"/>
    <w:next w:val="Normal"/>
    <w:link w:val="CitationCar"/>
    <w:uiPriority w:val="29"/>
    <w:qFormat/>
    <w:rsid w:val="00E040F1"/>
    <w:pPr>
      <w:spacing w:before="200"/>
      <w:ind w:left="864" w:right="864"/>
      <w:jc w:val="center"/>
    </w:pPr>
    <w:rPr>
      <w:i/>
      <w:iCs/>
      <w:color w:val="404040" w:themeColor="text1" w:themeTint="BF"/>
    </w:rPr>
  </w:style>
  <w:style w:type="character" w:customStyle="1" w:styleId="CitationCar">
    <w:name w:val="Citation Car"/>
    <w:basedOn w:val="Policepardfaut"/>
    <w:link w:val="Citation"/>
    <w:uiPriority w:val="29"/>
    <w:rsid w:val="00E040F1"/>
    <w:rPr>
      <w:i/>
      <w:iCs/>
      <w:color w:val="404040" w:themeColor="text1" w:themeTint="BF"/>
    </w:rPr>
  </w:style>
  <w:style w:type="paragraph" w:styleId="En-tte">
    <w:name w:val="header"/>
    <w:basedOn w:val="Normal"/>
    <w:link w:val="En-tteCar"/>
    <w:uiPriority w:val="99"/>
    <w:unhideWhenUsed/>
    <w:rsid w:val="002D3CC5"/>
    <w:pPr>
      <w:tabs>
        <w:tab w:val="center" w:pos="4536"/>
        <w:tab w:val="right" w:pos="9072"/>
      </w:tabs>
      <w:spacing w:after="0" w:line="240" w:lineRule="auto"/>
    </w:pPr>
  </w:style>
  <w:style w:type="character" w:customStyle="1" w:styleId="En-tteCar">
    <w:name w:val="En-tête Car"/>
    <w:basedOn w:val="Policepardfaut"/>
    <w:link w:val="En-tte"/>
    <w:uiPriority w:val="99"/>
    <w:rsid w:val="002D3CC5"/>
  </w:style>
  <w:style w:type="paragraph" w:styleId="Pieddepage">
    <w:name w:val="footer"/>
    <w:basedOn w:val="Normal"/>
    <w:link w:val="PieddepageCar"/>
    <w:uiPriority w:val="99"/>
    <w:unhideWhenUsed/>
    <w:rsid w:val="002D3CC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D3C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990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france.gouv.fr/juri/id/JURITEXT000045822770?isSuggest=tru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27A18-1260-4B7D-886C-724D46964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10</Pages>
  <Words>3620</Words>
  <Characters>19915</Characters>
  <Application>Microsoft Office Word</Application>
  <DocSecurity>0</DocSecurity>
  <Lines>165</Lines>
  <Paragraphs>46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béatrice bobet</dc:creator>
  <cp:keywords/>
  <dc:description/>
  <cp:lastModifiedBy>Béatrice BOBET</cp:lastModifiedBy>
  <cp:revision>48</cp:revision>
  <cp:lastPrinted>2024-02-05T12:48:00Z</cp:lastPrinted>
  <dcterms:created xsi:type="dcterms:W3CDTF">2024-03-24T16:33:00Z</dcterms:created>
  <dcterms:modified xsi:type="dcterms:W3CDTF">2024-04-01T20:20:00Z</dcterms:modified>
</cp:coreProperties>
</file>