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E9A" w:rsidRPr="00B42D9E" w:rsidRDefault="00B46E9A">
      <w:pPr>
        <w:rPr>
          <w:rFonts w:ascii="Verdana" w:hAnsi="Verdana"/>
          <w:b/>
          <w:sz w:val="28"/>
          <w:szCs w:val="28"/>
        </w:rPr>
      </w:pPr>
      <w:r w:rsidRPr="00B42D9E">
        <w:rPr>
          <w:rFonts w:ascii="Verdana" w:hAnsi="Verdana"/>
          <w:b/>
          <w:sz w:val="28"/>
          <w:szCs w:val="28"/>
        </w:rPr>
        <w:t>Un Capitaine de navire de croisière ou un « </w:t>
      </w:r>
      <w:proofErr w:type="spellStart"/>
      <w:r w:rsidR="00701E84" w:rsidRPr="00B42D9E">
        <w:rPr>
          <w:rFonts w:ascii="Verdana" w:hAnsi="Verdana"/>
          <w:b/>
          <w:sz w:val="28"/>
          <w:szCs w:val="28"/>
        </w:rPr>
        <w:t>sou</w:t>
      </w:r>
      <w:r w:rsidRPr="00B42D9E">
        <w:rPr>
          <w:rFonts w:ascii="Verdana" w:hAnsi="Verdana"/>
          <w:b/>
          <w:sz w:val="28"/>
          <w:szCs w:val="28"/>
        </w:rPr>
        <w:t>fre-douleur</w:t>
      </w:r>
      <w:proofErr w:type="spellEnd"/>
      <w:r w:rsidRPr="00B42D9E">
        <w:rPr>
          <w:rFonts w:ascii="Verdana" w:hAnsi="Verdana"/>
          <w:b/>
          <w:sz w:val="28"/>
          <w:szCs w:val="28"/>
        </w:rPr>
        <w:t> »</w:t>
      </w:r>
    </w:p>
    <w:p w:rsidR="00F94489" w:rsidRDefault="00B46E9A">
      <w:pPr>
        <w:rPr>
          <w:rFonts w:ascii="Verdana" w:hAnsi="Verdana"/>
          <w:sz w:val="24"/>
          <w:szCs w:val="24"/>
        </w:rPr>
      </w:pPr>
      <w:r>
        <w:rPr>
          <w:rFonts w:ascii="Verdana" w:hAnsi="Verdana"/>
          <w:sz w:val="24"/>
          <w:szCs w:val="24"/>
        </w:rPr>
        <w:t xml:space="preserve">Le Capitaine du navire Azura, </w:t>
      </w:r>
      <w:r w:rsidR="00701E84">
        <w:rPr>
          <w:rFonts w:ascii="Verdana" w:hAnsi="Verdana"/>
          <w:sz w:val="24"/>
          <w:szCs w:val="24"/>
        </w:rPr>
        <w:t>paquebot de croisière, ayant fait escale à Marseille,</w:t>
      </w:r>
      <w:r w:rsidR="00AB557A">
        <w:rPr>
          <w:rFonts w:ascii="Verdana" w:hAnsi="Verdana"/>
          <w:sz w:val="24"/>
          <w:szCs w:val="24"/>
        </w:rPr>
        <w:t xml:space="preserve"> </w:t>
      </w:r>
      <w:r>
        <w:rPr>
          <w:rFonts w:ascii="Verdana" w:hAnsi="Verdana"/>
          <w:sz w:val="24"/>
          <w:szCs w:val="24"/>
        </w:rPr>
        <w:t>condamné en première instance e</w:t>
      </w:r>
      <w:r w:rsidR="00701E84">
        <w:rPr>
          <w:rFonts w:ascii="Verdana" w:hAnsi="Verdana"/>
          <w:sz w:val="24"/>
          <w:szCs w:val="24"/>
        </w:rPr>
        <w:t>s</w:t>
      </w:r>
      <w:r>
        <w:rPr>
          <w:rFonts w:ascii="Verdana" w:hAnsi="Verdana"/>
          <w:sz w:val="24"/>
          <w:szCs w:val="24"/>
        </w:rPr>
        <w:t xml:space="preserve">t relaxé par la Cour D’appel d’Aix en </w:t>
      </w:r>
      <w:r w:rsidR="00701E84">
        <w:rPr>
          <w:rFonts w:ascii="Verdana" w:hAnsi="Verdana"/>
          <w:sz w:val="24"/>
          <w:szCs w:val="24"/>
        </w:rPr>
        <w:t>P</w:t>
      </w:r>
      <w:r>
        <w:rPr>
          <w:rFonts w:ascii="Verdana" w:hAnsi="Verdana"/>
          <w:sz w:val="24"/>
          <w:szCs w:val="24"/>
        </w:rPr>
        <w:t>rovence.</w:t>
      </w:r>
    </w:p>
    <w:p w:rsidR="00701E84" w:rsidRDefault="004972A1">
      <w:pPr>
        <w:rPr>
          <w:rFonts w:ascii="Verdana" w:hAnsi="Verdana"/>
          <w:sz w:val="24"/>
          <w:szCs w:val="24"/>
        </w:rPr>
      </w:pPr>
      <w:r>
        <w:rPr>
          <w:rFonts w:ascii="Verdana" w:hAnsi="Verdana"/>
          <w:sz w:val="24"/>
          <w:szCs w:val="24"/>
        </w:rPr>
        <w:t>L</w:t>
      </w:r>
      <w:r w:rsidR="00701E84">
        <w:rPr>
          <w:rFonts w:ascii="Verdana" w:hAnsi="Verdana"/>
          <w:sz w:val="24"/>
          <w:szCs w:val="24"/>
        </w:rPr>
        <w:t xml:space="preserve">es premiers juges ont fait </w:t>
      </w:r>
      <w:proofErr w:type="gramStart"/>
      <w:r w:rsidR="00701E84">
        <w:rPr>
          <w:rFonts w:ascii="Verdana" w:hAnsi="Verdana"/>
          <w:sz w:val="24"/>
          <w:szCs w:val="24"/>
        </w:rPr>
        <w:t>droit</w:t>
      </w:r>
      <w:proofErr w:type="gramEnd"/>
      <w:r w:rsidR="00701E84">
        <w:rPr>
          <w:rFonts w:ascii="Verdana" w:hAnsi="Verdana"/>
          <w:sz w:val="24"/>
          <w:szCs w:val="24"/>
        </w:rPr>
        <w:t xml:space="preserve"> aux réquisitions du parquet</w:t>
      </w:r>
      <w:r>
        <w:rPr>
          <w:rFonts w:ascii="Verdana" w:hAnsi="Verdana"/>
          <w:sz w:val="24"/>
          <w:szCs w:val="24"/>
        </w:rPr>
        <w:t>, une amende de 100 000€ est prononcée dont 20 000€ à la charge du capitaine pour une utilisation de carburant dont la teneur en soufre est supérieure à la norme.</w:t>
      </w:r>
    </w:p>
    <w:p w:rsidR="004972A1" w:rsidRDefault="00B42D9E">
      <w:pPr>
        <w:rPr>
          <w:rFonts w:ascii="Verdana" w:hAnsi="Verdana"/>
          <w:sz w:val="24"/>
          <w:szCs w:val="24"/>
        </w:rPr>
      </w:pPr>
      <w:r>
        <w:rPr>
          <w:rFonts w:ascii="Verdana" w:hAnsi="Verdana"/>
          <w:sz w:val="24"/>
          <w:szCs w:val="24"/>
        </w:rPr>
        <w:t>Le Capitaine endosse la responsabilité du carburant, en sa qualité de seul maitre à bord.</w:t>
      </w:r>
    </w:p>
    <w:p w:rsidR="004972A1" w:rsidRDefault="004972A1">
      <w:pPr>
        <w:rPr>
          <w:rFonts w:ascii="Verdana" w:hAnsi="Verdana"/>
          <w:sz w:val="24"/>
          <w:szCs w:val="24"/>
        </w:rPr>
      </w:pPr>
      <w:r>
        <w:rPr>
          <w:rFonts w:ascii="Verdana" w:hAnsi="Verdana"/>
          <w:sz w:val="24"/>
          <w:szCs w:val="24"/>
        </w:rPr>
        <w:t>La cour d’Appel change de cap radi</w:t>
      </w:r>
      <w:r w:rsidR="007848C8">
        <w:rPr>
          <w:rFonts w:ascii="Verdana" w:hAnsi="Verdana"/>
          <w:sz w:val="24"/>
          <w:szCs w:val="24"/>
        </w:rPr>
        <w:t>calement et relaxe le capitaine.</w:t>
      </w:r>
    </w:p>
    <w:p w:rsidR="007848C8" w:rsidRDefault="007848C8">
      <w:pPr>
        <w:rPr>
          <w:rFonts w:ascii="Verdana" w:hAnsi="Verdana"/>
          <w:sz w:val="24"/>
          <w:szCs w:val="24"/>
        </w:rPr>
      </w:pPr>
      <w:r>
        <w:rPr>
          <w:rFonts w:ascii="Verdana" w:hAnsi="Verdana"/>
          <w:sz w:val="24"/>
          <w:szCs w:val="24"/>
        </w:rPr>
        <w:t xml:space="preserve">Le choix et la gestion du carburant relèvent de décisions stratégiques de la compagnie de transport et </w:t>
      </w:r>
      <w:r w:rsidR="00F11F94">
        <w:rPr>
          <w:rFonts w:ascii="Verdana" w:hAnsi="Verdana"/>
          <w:sz w:val="24"/>
          <w:szCs w:val="24"/>
        </w:rPr>
        <w:t>échappent au contrôle du capitane.</w:t>
      </w:r>
    </w:p>
    <w:p w:rsidR="00F11F94" w:rsidRDefault="00F11F94">
      <w:pPr>
        <w:rPr>
          <w:rFonts w:ascii="Verdana" w:hAnsi="Verdana"/>
          <w:sz w:val="24"/>
          <w:szCs w:val="24"/>
        </w:rPr>
      </w:pPr>
      <w:r>
        <w:rPr>
          <w:rFonts w:ascii="Verdana" w:hAnsi="Verdana"/>
          <w:sz w:val="24"/>
          <w:szCs w:val="24"/>
        </w:rPr>
        <w:t>Ce faisant, l’élément intentionnel de l’infraction disparu, l’infraction n’est plus.</w:t>
      </w:r>
    </w:p>
    <w:p w:rsidR="00F11F94" w:rsidRDefault="00AB557A">
      <w:pPr>
        <w:rPr>
          <w:rFonts w:ascii="Verdana" w:hAnsi="Verdana"/>
          <w:sz w:val="24"/>
          <w:szCs w:val="24"/>
        </w:rPr>
      </w:pPr>
      <w:r>
        <w:rPr>
          <w:rFonts w:ascii="Verdana" w:hAnsi="Verdana"/>
          <w:sz w:val="24"/>
          <w:szCs w:val="24"/>
        </w:rPr>
        <w:t xml:space="preserve">Le Capitaine, </w:t>
      </w:r>
      <w:proofErr w:type="gramStart"/>
      <w:r>
        <w:rPr>
          <w:rFonts w:ascii="Verdana" w:hAnsi="Verdana"/>
          <w:sz w:val="24"/>
          <w:szCs w:val="24"/>
        </w:rPr>
        <w:t>un</w:t>
      </w:r>
      <w:proofErr w:type="gramEnd"/>
      <w:r>
        <w:rPr>
          <w:rFonts w:ascii="Verdana" w:hAnsi="Verdana"/>
          <w:sz w:val="24"/>
          <w:szCs w:val="24"/>
        </w:rPr>
        <w:t xml:space="preserve"> soufre douleur en première instance, e</w:t>
      </w:r>
      <w:r w:rsidR="00722F59">
        <w:rPr>
          <w:rFonts w:ascii="Verdana" w:hAnsi="Verdana"/>
          <w:sz w:val="24"/>
          <w:szCs w:val="24"/>
        </w:rPr>
        <w:t>s</w:t>
      </w:r>
      <w:r>
        <w:rPr>
          <w:rFonts w:ascii="Verdana" w:hAnsi="Verdana"/>
          <w:sz w:val="24"/>
          <w:szCs w:val="24"/>
        </w:rPr>
        <w:t>t irresponsable en appel.</w:t>
      </w:r>
    </w:p>
    <w:p w:rsidR="00F11F94" w:rsidRDefault="00AB557A">
      <w:pPr>
        <w:rPr>
          <w:rFonts w:ascii="Verdana" w:hAnsi="Verdana"/>
          <w:sz w:val="24"/>
          <w:szCs w:val="24"/>
        </w:rPr>
      </w:pPr>
      <w:r>
        <w:rPr>
          <w:rFonts w:ascii="Verdana" w:hAnsi="Verdana"/>
          <w:sz w:val="24"/>
          <w:szCs w:val="24"/>
        </w:rPr>
        <w:t xml:space="preserve">Cour d’Apple Aix en Provence 12 novembre 2019.DMF 822, mars 2020, p 230et </w:t>
      </w:r>
      <w:proofErr w:type="spellStart"/>
      <w:r>
        <w:rPr>
          <w:rFonts w:ascii="Verdana" w:hAnsi="Verdana"/>
          <w:sz w:val="24"/>
          <w:szCs w:val="24"/>
        </w:rPr>
        <w:t>suiv</w:t>
      </w:r>
      <w:proofErr w:type="spellEnd"/>
    </w:p>
    <w:p w:rsidR="004972A1" w:rsidRDefault="004972A1">
      <w:pPr>
        <w:rPr>
          <w:rFonts w:ascii="Verdana" w:hAnsi="Verdana"/>
          <w:sz w:val="24"/>
          <w:szCs w:val="24"/>
        </w:rPr>
      </w:pPr>
    </w:p>
    <w:p w:rsidR="004972A1" w:rsidRDefault="00B42D9E">
      <w:pPr>
        <w:rPr>
          <w:rFonts w:ascii="Verdana" w:hAnsi="Verdana"/>
          <w:sz w:val="24"/>
          <w:szCs w:val="24"/>
        </w:rPr>
      </w:pPr>
      <w:r>
        <w:rPr>
          <w:rFonts w:ascii="Verdana" w:hAnsi="Verdana"/>
          <w:sz w:val="24"/>
          <w:szCs w:val="24"/>
        </w:rPr>
        <w:t>Mots clés : capitaine, croisière, soufre, environnement, condamnation, 218-2 du code de l’</w:t>
      </w:r>
      <w:r w:rsidR="00A15831">
        <w:rPr>
          <w:rFonts w:ascii="Verdana" w:hAnsi="Verdana"/>
          <w:sz w:val="24"/>
          <w:szCs w:val="24"/>
        </w:rPr>
        <w:t>environnement, Marseille, port, pollution.</w:t>
      </w:r>
      <w:bookmarkStart w:id="0" w:name="_GoBack"/>
      <w:bookmarkEnd w:id="0"/>
    </w:p>
    <w:p w:rsidR="00701E84" w:rsidRDefault="00701E84">
      <w:pPr>
        <w:rPr>
          <w:rFonts w:ascii="Verdana" w:hAnsi="Verdana"/>
          <w:sz w:val="24"/>
          <w:szCs w:val="24"/>
        </w:rPr>
      </w:pPr>
    </w:p>
    <w:p w:rsidR="00701E84" w:rsidRDefault="00701E84">
      <w:pPr>
        <w:rPr>
          <w:rFonts w:ascii="Verdana" w:hAnsi="Verdana"/>
          <w:sz w:val="24"/>
          <w:szCs w:val="24"/>
        </w:rPr>
      </w:pPr>
    </w:p>
    <w:p w:rsidR="00701E84" w:rsidRDefault="00701E84">
      <w:pPr>
        <w:rPr>
          <w:rFonts w:ascii="Verdana" w:hAnsi="Verdana"/>
          <w:sz w:val="24"/>
          <w:szCs w:val="24"/>
        </w:rPr>
      </w:pPr>
    </w:p>
    <w:p w:rsidR="00701E84" w:rsidRPr="00701E84" w:rsidRDefault="00701E84" w:rsidP="00701E84">
      <w:pPr>
        <w:shd w:val="clear" w:color="auto" w:fill="FFFFFF"/>
        <w:spacing w:after="0" w:line="240" w:lineRule="auto"/>
        <w:jc w:val="center"/>
        <w:rPr>
          <w:rFonts w:ascii="Arial" w:eastAsia="Times New Roman" w:hAnsi="Arial" w:cs="Arial"/>
          <w:b/>
          <w:bCs/>
          <w:color w:val="000000"/>
          <w:sz w:val="23"/>
          <w:szCs w:val="23"/>
          <w:lang w:eastAsia="fr-FR"/>
        </w:rPr>
      </w:pPr>
      <w:r w:rsidRPr="00701E84">
        <w:rPr>
          <w:rFonts w:ascii="Arial" w:eastAsia="Times New Roman" w:hAnsi="Arial" w:cs="Arial"/>
          <w:b/>
          <w:bCs/>
          <w:color w:val="000000"/>
          <w:sz w:val="23"/>
          <w:szCs w:val="23"/>
          <w:lang w:eastAsia="fr-FR"/>
        </w:rPr>
        <w:t>Article L218-2 </w:t>
      </w:r>
      <w:hyperlink r:id="rId5" w:tooltip="En savoir plus sur l'article L218-2" w:history="1">
        <w:r w:rsidRPr="00701E84">
          <w:rPr>
            <w:rFonts w:ascii="Arial" w:eastAsia="Times New Roman" w:hAnsi="Arial" w:cs="Arial"/>
            <w:b/>
            <w:bCs/>
            <w:color w:val="336699"/>
            <w:sz w:val="23"/>
            <w:szCs w:val="23"/>
            <w:u w:val="single"/>
            <w:lang w:eastAsia="fr-FR"/>
          </w:rPr>
          <w:t>En savoir plus sur cet article...</w:t>
        </w:r>
      </w:hyperlink>
    </w:p>
    <w:p w:rsidR="00701E84" w:rsidRPr="00701E84" w:rsidRDefault="00701E84" w:rsidP="00701E84">
      <w:pPr>
        <w:shd w:val="clear" w:color="auto" w:fill="FFFFFF"/>
        <w:spacing w:after="150" w:line="240" w:lineRule="auto"/>
        <w:jc w:val="center"/>
        <w:rPr>
          <w:rFonts w:ascii="Arial" w:eastAsia="Times New Roman" w:hAnsi="Arial" w:cs="Arial"/>
          <w:color w:val="000000"/>
          <w:sz w:val="19"/>
          <w:szCs w:val="19"/>
          <w:lang w:eastAsia="fr-FR"/>
        </w:rPr>
      </w:pPr>
      <w:r w:rsidRPr="00701E84">
        <w:rPr>
          <w:rFonts w:ascii="Arial" w:eastAsia="Times New Roman" w:hAnsi="Arial" w:cs="Arial"/>
          <w:color w:val="000000"/>
          <w:sz w:val="19"/>
          <w:szCs w:val="19"/>
          <w:lang w:eastAsia="fr-FR"/>
        </w:rPr>
        <w:t>Modifié par </w:t>
      </w:r>
      <w:hyperlink r:id="rId6" w:history="1">
        <w:r w:rsidRPr="00701E84">
          <w:rPr>
            <w:rFonts w:ascii="Arial" w:eastAsia="Times New Roman" w:hAnsi="Arial" w:cs="Arial"/>
            <w:color w:val="336699"/>
            <w:sz w:val="19"/>
            <w:szCs w:val="19"/>
            <w:u w:val="single"/>
            <w:lang w:eastAsia="fr-FR"/>
          </w:rPr>
          <w:t>Ordonnance n°2015-1736 du 24 décembre 2015 - art. 2</w:t>
        </w:r>
      </w:hyperlink>
    </w:p>
    <w:p w:rsidR="00701E84" w:rsidRPr="00701E84" w:rsidRDefault="00701E84" w:rsidP="00701E84">
      <w:pPr>
        <w:shd w:val="clear" w:color="auto" w:fill="FFFFFF"/>
        <w:spacing w:before="180" w:after="180" w:line="240" w:lineRule="auto"/>
        <w:rPr>
          <w:rFonts w:ascii="Arial" w:eastAsia="Times New Roman" w:hAnsi="Arial" w:cs="Arial"/>
          <w:color w:val="000000"/>
          <w:sz w:val="19"/>
          <w:szCs w:val="19"/>
          <w:lang w:eastAsia="fr-FR"/>
        </w:rPr>
      </w:pPr>
      <w:r w:rsidRPr="00701E84">
        <w:rPr>
          <w:rFonts w:ascii="Arial" w:eastAsia="Times New Roman" w:hAnsi="Arial" w:cs="Arial"/>
          <w:color w:val="000000"/>
          <w:sz w:val="19"/>
          <w:szCs w:val="19"/>
          <w:lang w:eastAsia="fr-FR"/>
        </w:rPr>
        <w:t>I. - Les navires naviguant dans les eaux relevant de la souveraineté ou de la juridiction française doivent :</w:t>
      </w:r>
    </w:p>
    <w:p w:rsidR="00701E84" w:rsidRPr="00701E84" w:rsidRDefault="00701E84" w:rsidP="00701E84">
      <w:pPr>
        <w:shd w:val="clear" w:color="auto" w:fill="FFFFFF"/>
        <w:spacing w:before="180" w:after="180" w:line="240" w:lineRule="auto"/>
        <w:rPr>
          <w:rFonts w:ascii="Arial" w:eastAsia="Times New Roman" w:hAnsi="Arial" w:cs="Arial"/>
          <w:color w:val="000000"/>
          <w:sz w:val="19"/>
          <w:szCs w:val="19"/>
          <w:lang w:eastAsia="fr-FR"/>
        </w:rPr>
      </w:pPr>
      <w:r w:rsidRPr="00701E84">
        <w:rPr>
          <w:rFonts w:ascii="Arial" w:eastAsia="Times New Roman" w:hAnsi="Arial" w:cs="Arial"/>
          <w:color w:val="000000"/>
          <w:sz w:val="19"/>
          <w:szCs w:val="19"/>
          <w:lang w:eastAsia="fr-FR"/>
        </w:rPr>
        <w:t>1° Lorsqu'ils naviguent en dehors des zones de contrôle des émissions de soufre désignées conformément à la règle 14.3 de l'annexe VI de la convention MARPOL, utiliser des combustibles dont la teneur en soufre est inférieure ou égale à 3,50 % en masse jusqu'au 31 décembre 2019, puis inférieure ou égale à 0,50 % en masse à compter du 1er janvier 2020 ;</w:t>
      </w:r>
    </w:p>
    <w:p w:rsidR="00701E84" w:rsidRPr="00701E84" w:rsidRDefault="00701E84" w:rsidP="00701E84">
      <w:pPr>
        <w:shd w:val="clear" w:color="auto" w:fill="FFFFFF"/>
        <w:spacing w:before="180" w:after="180" w:line="240" w:lineRule="auto"/>
        <w:rPr>
          <w:rFonts w:ascii="Arial" w:eastAsia="Times New Roman" w:hAnsi="Arial" w:cs="Arial"/>
          <w:color w:val="000000"/>
          <w:sz w:val="19"/>
          <w:szCs w:val="19"/>
          <w:lang w:eastAsia="fr-FR"/>
        </w:rPr>
      </w:pPr>
      <w:r w:rsidRPr="00701E84">
        <w:rPr>
          <w:rFonts w:ascii="Arial" w:eastAsia="Times New Roman" w:hAnsi="Arial" w:cs="Arial"/>
          <w:color w:val="000000"/>
          <w:sz w:val="19"/>
          <w:szCs w:val="19"/>
          <w:lang w:eastAsia="fr-FR"/>
        </w:rPr>
        <w:lastRenderedPageBreak/>
        <w:t>2° Lorsqu'ils naviguent dans les zones de contrôle des émissions de soufre, utiliser des combustibles dont la teneur en soufre est inférieure ou égale à 0,10 % en masse.</w:t>
      </w:r>
    </w:p>
    <w:p w:rsidR="00701E84" w:rsidRPr="00701E84" w:rsidRDefault="00701E84" w:rsidP="00701E84">
      <w:pPr>
        <w:shd w:val="clear" w:color="auto" w:fill="FFFFFF"/>
        <w:spacing w:before="180" w:after="180" w:line="240" w:lineRule="auto"/>
        <w:rPr>
          <w:rFonts w:ascii="Arial" w:eastAsia="Times New Roman" w:hAnsi="Arial" w:cs="Arial"/>
          <w:color w:val="000000"/>
          <w:sz w:val="19"/>
          <w:szCs w:val="19"/>
          <w:lang w:eastAsia="fr-FR"/>
        </w:rPr>
      </w:pPr>
      <w:r w:rsidRPr="00701E84">
        <w:rPr>
          <w:rFonts w:ascii="Arial" w:eastAsia="Times New Roman" w:hAnsi="Arial" w:cs="Arial"/>
          <w:color w:val="000000"/>
          <w:sz w:val="19"/>
          <w:szCs w:val="19"/>
          <w:lang w:eastAsia="fr-FR"/>
        </w:rPr>
        <w:t>II. - Pour les navires à passagers assurant des services réguliers à destination ou en provenance de ports d'un Etat membre de l'Union européenne, la teneur en soufre des combustibles utilisés en dehors des zones de contrôle des émissions de soufre doit être inférieure ou égale à 1,5 % en masse jusqu'au 31 décembre 2019, puis inférieure ou égale à 0,50 % en masse à compter du 1er janvier 2020.</w:t>
      </w:r>
    </w:p>
    <w:p w:rsidR="00701E84" w:rsidRPr="00701E84" w:rsidRDefault="00701E84" w:rsidP="00701E84">
      <w:pPr>
        <w:shd w:val="clear" w:color="auto" w:fill="FFFFFF"/>
        <w:spacing w:before="180" w:after="180" w:line="240" w:lineRule="auto"/>
        <w:rPr>
          <w:rFonts w:ascii="Arial" w:eastAsia="Times New Roman" w:hAnsi="Arial" w:cs="Arial"/>
          <w:color w:val="000000"/>
          <w:sz w:val="19"/>
          <w:szCs w:val="19"/>
          <w:lang w:eastAsia="fr-FR"/>
        </w:rPr>
      </w:pPr>
      <w:r w:rsidRPr="00701E84">
        <w:rPr>
          <w:rFonts w:ascii="Arial" w:eastAsia="Times New Roman" w:hAnsi="Arial" w:cs="Arial"/>
          <w:color w:val="000000"/>
          <w:sz w:val="19"/>
          <w:szCs w:val="19"/>
          <w:lang w:eastAsia="fr-FR"/>
        </w:rPr>
        <w:t>III. - Les navires à quai durant plus de deux heures consécutives selon les horaires publiés doivent utiliser des combustibles marins dont la teneur en soufre est inférieure ou égale à 0,10 % en masse, exception faite des navires qui stoppent toutes les machines et utilisent le branchement électrique à quai lorsqu'ils sont à quai dans les ports.</w:t>
      </w:r>
    </w:p>
    <w:p w:rsidR="00701E84" w:rsidRPr="00701E84" w:rsidRDefault="00701E84" w:rsidP="00701E84">
      <w:pPr>
        <w:shd w:val="clear" w:color="auto" w:fill="FFFFFF"/>
        <w:spacing w:before="180" w:after="180" w:line="240" w:lineRule="auto"/>
        <w:rPr>
          <w:rFonts w:ascii="Arial" w:eastAsia="Times New Roman" w:hAnsi="Arial" w:cs="Arial"/>
          <w:color w:val="000000"/>
          <w:sz w:val="19"/>
          <w:szCs w:val="19"/>
          <w:lang w:eastAsia="fr-FR"/>
        </w:rPr>
      </w:pPr>
      <w:r w:rsidRPr="00701E84">
        <w:rPr>
          <w:rFonts w:ascii="Arial" w:eastAsia="Times New Roman" w:hAnsi="Arial" w:cs="Arial"/>
          <w:color w:val="000000"/>
          <w:sz w:val="19"/>
          <w:szCs w:val="19"/>
          <w:lang w:eastAsia="fr-FR"/>
        </w:rPr>
        <w:t>IV. - Les navires procédant à des essais de méthodes de réduction des émissions de soufre ou utilisant de telles méthodes peuvent être exemptés de l'utilisation de combustibles marins dont la teneur en soufre est inférieure ou égale aux valeurs mentionnées, selon les cas, aux I à III, lorsqu'ils réalisent en permanence des réductions des émissions de dioxyde de soufre au moins équivalentes à celles qu'ils auraient obtenues en utilisant des combustibles marins répondant à ces exigences. La condition de permanence n'est pas exigée lorsque les navires procèdent à des essais.</w:t>
      </w:r>
    </w:p>
    <w:p w:rsidR="00701E84" w:rsidRPr="00701E84" w:rsidRDefault="00701E84" w:rsidP="00701E84">
      <w:pPr>
        <w:shd w:val="clear" w:color="auto" w:fill="FFFFFF"/>
        <w:spacing w:before="180" w:after="180" w:line="240" w:lineRule="auto"/>
        <w:rPr>
          <w:rFonts w:ascii="Arial" w:eastAsia="Times New Roman" w:hAnsi="Arial" w:cs="Arial"/>
          <w:color w:val="000000"/>
          <w:sz w:val="19"/>
          <w:szCs w:val="19"/>
          <w:lang w:eastAsia="fr-FR"/>
        </w:rPr>
      </w:pPr>
      <w:r w:rsidRPr="00701E84">
        <w:rPr>
          <w:rFonts w:ascii="Arial" w:eastAsia="Times New Roman" w:hAnsi="Arial" w:cs="Arial"/>
          <w:color w:val="000000"/>
          <w:sz w:val="19"/>
          <w:szCs w:val="19"/>
          <w:lang w:eastAsia="fr-FR"/>
        </w:rPr>
        <w:t>V. - Les conditions d'application du présent article sont fixées par voie réglementaire.</w:t>
      </w:r>
    </w:p>
    <w:p w:rsidR="00701E84" w:rsidRDefault="00701E84">
      <w:pPr>
        <w:rPr>
          <w:rFonts w:ascii="Verdana" w:hAnsi="Verdana"/>
          <w:sz w:val="24"/>
          <w:szCs w:val="24"/>
        </w:rPr>
      </w:pPr>
    </w:p>
    <w:p w:rsidR="00701E84" w:rsidRPr="00701E84" w:rsidRDefault="00701E84" w:rsidP="00701E84">
      <w:pPr>
        <w:shd w:val="clear" w:color="auto" w:fill="FFFFFF"/>
        <w:spacing w:after="0" w:line="240" w:lineRule="auto"/>
        <w:jc w:val="center"/>
        <w:rPr>
          <w:rFonts w:ascii="Arial" w:eastAsia="Times New Roman" w:hAnsi="Arial" w:cs="Arial"/>
          <w:b/>
          <w:bCs/>
          <w:color w:val="000000"/>
          <w:sz w:val="23"/>
          <w:szCs w:val="23"/>
          <w:lang w:eastAsia="fr-FR"/>
        </w:rPr>
      </w:pPr>
      <w:r w:rsidRPr="00701E84">
        <w:rPr>
          <w:rFonts w:ascii="Arial" w:eastAsia="Times New Roman" w:hAnsi="Arial" w:cs="Arial"/>
          <w:b/>
          <w:bCs/>
          <w:color w:val="000000"/>
          <w:sz w:val="23"/>
          <w:szCs w:val="23"/>
          <w:lang w:eastAsia="fr-FR"/>
        </w:rPr>
        <w:t>Article L218-15 </w:t>
      </w:r>
      <w:hyperlink r:id="rId7" w:tooltip="En savoir plus sur l'article L218-15" w:history="1">
        <w:r w:rsidRPr="00701E84">
          <w:rPr>
            <w:rFonts w:ascii="Arial" w:eastAsia="Times New Roman" w:hAnsi="Arial" w:cs="Arial"/>
            <w:b/>
            <w:bCs/>
            <w:color w:val="336699"/>
            <w:sz w:val="23"/>
            <w:szCs w:val="23"/>
            <w:u w:val="single"/>
            <w:lang w:eastAsia="fr-FR"/>
          </w:rPr>
          <w:t>En savoir plus sur cet article...</w:t>
        </w:r>
      </w:hyperlink>
    </w:p>
    <w:p w:rsidR="00701E84" w:rsidRPr="00701E84" w:rsidRDefault="00701E84" w:rsidP="00701E84">
      <w:pPr>
        <w:shd w:val="clear" w:color="auto" w:fill="FFFFFF"/>
        <w:spacing w:after="150" w:line="240" w:lineRule="auto"/>
        <w:jc w:val="center"/>
        <w:rPr>
          <w:rFonts w:ascii="Arial" w:eastAsia="Times New Roman" w:hAnsi="Arial" w:cs="Arial"/>
          <w:color w:val="000000"/>
          <w:sz w:val="19"/>
          <w:szCs w:val="19"/>
          <w:lang w:eastAsia="fr-FR"/>
        </w:rPr>
      </w:pPr>
      <w:r w:rsidRPr="00701E84">
        <w:rPr>
          <w:rFonts w:ascii="Arial" w:eastAsia="Times New Roman" w:hAnsi="Arial" w:cs="Arial"/>
          <w:color w:val="000000"/>
          <w:sz w:val="19"/>
          <w:szCs w:val="19"/>
          <w:lang w:eastAsia="fr-FR"/>
        </w:rPr>
        <w:t>Modifié par </w:t>
      </w:r>
      <w:hyperlink r:id="rId8" w:history="1">
        <w:r w:rsidRPr="00701E84">
          <w:rPr>
            <w:rFonts w:ascii="Arial" w:eastAsia="Times New Roman" w:hAnsi="Arial" w:cs="Arial"/>
            <w:color w:val="336699"/>
            <w:sz w:val="19"/>
            <w:szCs w:val="19"/>
            <w:u w:val="single"/>
            <w:lang w:eastAsia="fr-FR"/>
          </w:rPr>
          <w:t>Ordonnance n°2015-1736 du 24 décembre 2015 - art. 4</w:t>
        </w:r>
      </w:hyperlink>
    </w:p>
    <w:p w:rsidR="00701E84" w:rsidRPr="00701E84" w:rsidRDefault="00701E84" w:rsidP="00701E84">
      <w:pPr>
        <w:shd w:val="clear" w:color="auto" w:fill="FFFFFF"/>
        <w:spacing w:before="180" w:after="180" w:line="240" w:lineRule="auto"/>
        <w:rPr>
          <w:rFonts w:ascii="Arial" w:eastAsia="Times New Roman" w:hAnsi="Arial" w:cs="Arial"/>
          <w:color w:val="000000"/>
          <w:sz w:val="19"/>
          <w:szCs w:val="19"/>
          <w:lang w:eastAsia="fr-FR"/>
        </w:rPr>
      </w:pPr>
      <w:r w:rsidRPr="00701E84">
        <w:rPr>
          <w:rFonts w:ascii="Arial" w:eastAsia="Times New Roman" w:hAnsi="Arial" w:cs="Arial"/>
          <w:color w:val="000000"/>
          <w:sz w:val="19"/>
          <w:szCs w:val="19"/>
          <w:lang w:eastAsia="fr-FR"/>
        </w:rPr>
        <w:t>I. – Est puni d'un an d'emprisonnement et de 200 000 € d'amende le fait, pour tout capitaine d'un navire, de se rendre coupable d'infractions aux dispositions de la règle 11 de l'annexe IV et des règles 3,4 et 5 de l'annexe V de la convention MARPOL.</w:t>
      </w:r>
    </w:p>
    <w:p w:rsidR="00701E84" w:rsidRPr="00701E84" w:rsidRDefault="00701E84" w:rsidP="00701E84">
      <w:pPr>
        <w:shd w:val="clear" w:color="auto" w:fill="FFFFFF"/>
        <w:spacing w:before="180" w:after="180" w:line="240" w:lineRule="auto"/>
        <w:rPr>
          <w:rFonts w:ascii="Arial" w:eastAsia="Times New Roman" w:hAnsi="Arial" w:cs="Arial"/>
          <w:color w:val="000000"/>
          <w:sz w:val="19"/>
          <w:szCs w:val="19"/>
          <w:lang w:eastAsia="fr-FR"/>
        </w:rPr>
      </w:pPr>
      <w:r w:rsidRPr="00701E84">
        <w:rPr>
          <w:rFonts w:ascii="Arial" w:eastAsia="Times New Roman" w:hAnsi="Arial" w:cs="Arial"/>
          <w:color w:val="000000"/>
          <w:sz w:val="19"/>
          <w:szCs w:val="19"/>
          <w:lang w:eastAsia="fr-FR"/>
        </w:rPr>
        <w:t>II. – Est puni d'un an d'emprisonnement et de 200 000 € d'amende le fait, pour tout capitaine d'un navire, de se rendre coupable d'infractions aux dispositions des règles 12</w:t>
      </w:r>
      <w:proofErr w:type="gramStart"/>
      <w:r w:rsidRPr="00701E84">
        <w:rPr>
          <w:rFonts w:ascii="Arial" w:eastAsia="Times New Roman" w:hAnsi="Arial" w:cs="Arial"/>
          <w:color w:val="000000"/>
          <w:sz w:val="19"/>
          <w:szCs w:val="19"/>
          <w:lang w:eastAsia="fr-FR"/>
        </w:rPr>
        <w:t>,13,16</w:t>
      </w:r>
      <w:proofErr w:type="gramEnd"/>
      <w:r w:rsidRPr="00701E84">
        <w:rPr>
          <w:rFonts w:ascii="Arial" w:eastAsia="Times New Roman" w:hAnsi="Arial" w:cs="Arial"/>
          <w:color w:val="000000"/>
          <w:sz w:val="19"/>
          <w:szCs w:val="19"/>
          <w:lang w:eastAsia="fr-FR"/>
        </w:rPr>
        <w:t xml:space="preserve"> et 18 de l'annexe VI de la convention MARPOL, ainsi qu'aux dispositions des I à IV de l'article </w:t>
      </w:r>
      <w:hyperlink r:id="rId9" w:history="1">
        <w:r w:rsidRPr="00701E84">
          <w:rPr>
            <w:rFonts w:ascii="Arial" w:eastAsia="Times New Roman" w:hAnsi="Arial" w:cs="Arial"/>
            <w:color w:val="336699"/>
            <w:sz w:val="19"/>
            <w:szCs w:val="19"/>
            <w:u w:val="single"/>
            <w:lang w:eastAsia="fr-FR"/>
          </w:rPr>
          <w:t>L. 218-2</w:t>
        </w:r>
      </w:hyperlink>
      <w:r w:rsidRPr="00701E84">
        <w:rPr>
          <w:rFonts w:ascii="Arial" w:eastAsia="Times New Roman" w:hAnsi="Arial" w:cs="Arial"/>
          <w:color w:val="000000"/>
          <w:sz w:val="19"/>
          <w:szCs w:val="19"/>
          <w:lang w:eastAsia="fr-FR"/>
        </w:rPr>
        <w:t>.</w:t>
      </w:r>
    </w:p>
    <w:p w:rsidR="00701E84" w:rsidRPr="00B46E9A" w:rsidRDefault="00701E84">
      <w:pPr>
        <w:rPr>
          <w:rFonts w:ascii="Verdana" w:hAnsi="Verdana"/>
          <w:sz w:val="24"/>
          <w:szCs w:val="24"/>
        </w:rPr>
      </w:pPr>
    </w:p>
    <w:sectPr w:rsidR="00701E84" w:rsidRPr="00B46E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E9A"/>
    <w:rsid w:val="0000284E"/>
    <w:rsid w:val="00007E7D"/>
    <w:rsid w:val="000125DA"/>
    <w:rsid w:val="00033B2F"/>
    <w:rsid w:val="00061DB2"/>
    <w:rsid w:val="000D3B47"/>
    <w:rsid w:val="000D75A5"/>
    <w:rsid w:val="00102C80"/>
    <w:rsid w:val="001157A9"/>
    <w:rsid w:val="001445A3"/>
    <w:rsid w:val="00147440"/>
    <w:rsid w:val="001515DF"/>
    <w:rsid w:val="0015317E"/>
    <w:rsid w:val="001547C8"/>
    <w:rsid w:val="00163873"/>
    <w:rsid w:val="001650FB"/>
    <w:rsid w:val="0018229E"/>
    <w:rsid w:val="00192A7D"/>
    <w:rsid w:val="001A3A25"/>
    <w:rsid w:val="001B6698"/>
    <w:rsid w:val="001B71A1"/>
    <w:rsid w:val="001B7CE2"/>
    <w:rsid w:val="001E5D4F"/>
    <w:rsid w:val="001E765A"/>
    <w:rsid w:val="001F6883"/>
    <w:rsid w:val="00202C5B"/>
    <w:rsid w:val="002247ED"/>
    <w:rsid w:val="00252F9B"/>
    <w:rsid w:val="002645D0"/>
    <w:rsid w:val="00267007"/>
    <w:rsid w:val="002D3D51"/>
    <w:rsid w:val="002F02B1"/>
    <w:rsid w:val="003221DE"/>
    <w:rsid w:val="003363BC"/>
    <w:rsid w:val="00352986"/>
    <w:rsid w:val="00364081"/>
    <w:rsid w:val="00374229"/>
    <w:rsid w:val="00381EA7"/>
    <w:rsid w:val="00393433"/>
    <w:rsid w:val="00395091"/>
    <w:rsid w:val="003A513D"/>
    <w:rsid w:val="003B42C4"/>
    <w:rsid w:val="003B5608"/>
    <w:rsid w:val="003B7DC2"/>
    <w:rsid w:val="003E7BF0"/>
    <w:rsid w:val="003F5A0F"/>
    <w:rsid w:val="00403173"/>
    <w:rsid w:val="0042575A"/>
    <w:rsid w:val="00433D8C"/>
    <w:rsid w:val="004362A8"/>
    <w:rsid w:val="0046376B"/>
    <w:rsid w:val="00473676"/>
    <w:rsid w:val="00475CD9"/>
    <w:rsid w:val="004819AC"/>
    <w:rsid w:val="004972A1"/>
    <w:rsid w:val="004A02F8"/>
    <w:rsid w:val="004A0F8F"/>
    <w:rsid w:val="004A42EE"/>
    <w:rsid w:val="00503C99"/>
    <w:rsid w:val="00504501"/>
    <w:rsid w:val="00532692"/>
    <w:rsid w:val="00533585"/>
    <w:rsid w:val="00534D12"/>
    <w:rsid w:val="00545978"/>
    <w:rsid w:val="00553C5F"/>
    <w:rsid w:val="00572952"/>
    <w:rsid w:val="005C7B31"/>
    <w:rsid w:val="005D6092"/>
    <w:rsid w:val="005E17EA"/>
    <w:rsid w:val="005E1B8A"/>
    <w:rsid w:val="005E6275"/>
    <w:rsid w:val="005F5020"/>
    <w:rsid w:val="00612750"/>
    <w:rsid w:val="00614D13"/>
    <w:rsid w:val="0061777F"/>
    <w:rsid w:val="00646388"/>
    <w:rsid w:val="0065523B"/>
    <w:rsid w:val="00672C74"/>
    <w:rsid w:val="00685F1A"/>
    <w:rsid w:val="0069473C"/>
    <w:rsid w:val="006B268E"/>
    <w:rsid w:val="006B5560"/>
    <w:rsid w:val="006D5F67"/>
    <w:rsid w:val="006E1193"/>
    <w:rsid w:val="006F5497"/>
    <w:rsid w:val="00701E84"/>
    <w:rsid w:val="00717708"/>
    <w:rsid w:val="00722F59"/>
    <w:rsid w:val="00740238"/>
    <w:rsid w:val="00762681"/>
    <w:rsid w:val="007823A1"/>
    <w:rsid w:val="007848C8"/>
    <w:rsid w:val="0078560A"/>
    <w:rsid w:val="00794A8D"/>
    <w:rsid w:val="007A22FD"/>
    <w:rsid w:val="007A2F73"/>
    <w:rsid w:val="007B13E2"/>
    <w:rsid w:val="00802DBB"/>
    <w:rsid w:val="0080556B"/>
    <w:rsid w:val="00805E26"/>
    <w:rsid w:val="00857850"/>
    <w:rsid w:val="00873998"/>
    <w:rsid w:val="0088213F"/>
    <w:rsid w:val="0089334B"/>
    <w:rsid w:val="008B30F0"/>
    <w:rsid w:val="008B427B"/>
    <w:rsid w:val="008F7E70"/>
    <w:rsid w:val="00916235"/>
    <w:rsid w:val="0092734D"/>
    <w:rsid w:val="00974A44"/>
    <w:rsid w:val="00982454"/>
    <w:rsid w:val="0098630C"/>
    <w:rsid w:val="009A19F3"/>
    <w:rsid w:val="009A36B4"/>
    <w:rsid w:val="009A706B"/>
    <w:rsid w:val="009D5883"/>
    <w:rsid w:val="00A05ACB"/>
    <w:rsid w:val="00A06F2E"/>
    <w:rsid w:val="00A15628"/>
    <w:rsid w:val="00A15831"/>
    <w:rsid w:val="00A344B5"/>
    <w:rsid w:val="00A73804"/>
    <w:rsid w:val="00A828DC"/>
    <w:rsid w:val="00AA1779"/>
    <w:rsid w:val="00AA27C1"/>
    <w:rsid w:val="00AA5C5E"/>
    <w:rsid w:val="00AA7A60"/>
    <w:rsid w:val="00AB557A"/>
    <w:rsid w:val="00AD778A"/>
    <w:rsid w:val="00AE679C"/>
    <w:rsid w:val="00AF0B73"/>
    <w:rsid w:val="00B04B87"/>
    <w:rsid w:val="00B3762B"/>
    <w:rsid w:val="00B42D9E"/>
    <w:rsid w:val="00B46E9A"/>
    <w:rsid w:val="00B54FEC"/>
    <w:rsid w:val="00B57E32"/>
    <w:rsid w:val="00B8199D"/>
    <w:rsid w:val="00B8617F"/>
    <w:rsid w:val="00BA5DDA"/>
    <w:rsid w:val="00C03720"/>
    <w:rsid w:val="00C06B11"/>
    <w:rsid w:val="00C16C2D"/>
    <w:rsid w:val="00C31B62"/>
    <w:rsid w:val="00C32853"/>
    <w:rsid w:val="00C33476"/>
    <w:rsid w:val="00C470D5"/>
    <w:rsid w:val="00C66D45"/>
    <w:rsid w:val="00CB2047"/>
    <w:rsid w:val="00CC5497"/>
    <w:rsid w:val="00CE0290"/>
    <w:rsid w:val="00CF1E74"/>
    <w:rsid w:val="00D12905"/>
    <w:rsid w:val="00D30651"/>
    <w:rsid w:val="00D40F33"/>
    <w:rsid w:val="00D4307A"/>
    <w:rsid w:val="00D74603"/>
    <w:rsid w:val="00D81FA4"/>
    <w:rsid w:val="00DB29B9"/>
    <w:rsid w:val="00E076F7"/>
    <w:rsid w:val="00E32FAB"/>
    <w:rsid w:val="00E40F5B"/>
    <w:rsid w:val="00E640BB"/>
    <w:rsid w:val="00E94F9A"/>
    <w:rsid w:val="00EB5612"/>
    <w:rsid w:val="00EC608C"/>
    <w:rsid w:val="00F11F94"/>
    <w:rsid w:val="00F13AAB"/>
    <w:rsid w:val="00F326E9"/>
    <w:rsid w:val="00F3271D"/>
    <w:rsid w:val="00F44F13"/>
    <w:rsid w:val="00F53CB9"/>
    <w:rsid w:val="00F766F3"/>
    <w:rsid w:val="00F83023"/>
    <w:rsid w:val="00F878F9"/>
    <w:rsid w:val="00F94489"/>
    <w:rsid w:val="00FE5CCF"/>
    <w:rsid w:val="00FF1EF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562534">
      <w:bodyDiv w:val="1"/>
      <w:marLeft w:val="0"/>
      <w:marRight w:val="0"/>
      <w:marTop w:val="0"/>
      <w:marBottom w:val="0"/>
      <w:divBdr>
        <w:top w:val="none" w:sz="0" w:space="0" w:color="auto"/>
        <w:left w:val="none" w:sz="0" w:space="0" w:color="auto"/>
        <w:bottom w:val="none" w:sz="0" w:space="0" w:color="auto"/>
        <w:right w:val="none" w:sz="0" w:space="0" w:color="auto"/>
      </w:divBdr>
      <w:divsChild>
        <w:div w:id="874468507">
          <w:marLeft w:val="0"/>
          <w:marRight w:val="0"/>
          <w:marTop w:val="0"/>
          <w:marBottom w:val="150"/>
          <w:divBdr>
            <w:top w:val="none" w:sz="0" w:space="0" w:color="auto"/>
            <w:left w:val="none" w:sz="0" w:space="0" w:color="auto"/>
            <w:bottom w:val="none" w:sz="0" w:space="0" w:color="auto"/>
            <w:right w:val="none" w:sz="0" w:space="0" w:color="auto"/>
          </w:divBdr>
        </w:div>
        <w:div w:id="1556891716">
          <w:marLeft w:val="0"/>
          <w:marRight w:val="0"/>
          <w:marTop w:val="150"/>
          <w:marBottom w:val="0"/>
          <w:divBdr>
            <w:top w:val="none" w:sz="0" w:space="0" w:color="auto"/>
            <w:left w:val="none" w:sz="0" w:space="0" w:color="auto"/>
            <w:bottom w:val="none" w:sz="0" w:space="0" w:color="auto"/>
            <w:right w:val="none" w:sz="0" w:space="0" w:color="auto"/>
          </w:divBdr>
        </w:div>
      </w:divsChild>
    </w:div>
    <w:div w:id="292565358">
      <w:bodyDiv w:val="1"/>
      <w:marLeft w:val="0"/>
      <w:marRight w:val="0"/>
      <w:marTop w:val="0"/>
      <w:marBottom w:val="0"/>
      <w:divBdr>
        <w:top w:val="none" w:sz="0" w:space="0" w:color="auto"/>
        <w:left w:val="none" w:sz="0" w:space="0" w:color="auto"/>
        <w:bottom w:val="none" w:sz="0" w:space="0" w:color="auto"/>
        <w:right w:val="none" w:sz="0" w:space="0" w:color="auto"/>
      </w:divBdr>
      <w:divsChild>
        <w:div w:id="361135384">
          <w:marLeft w:val="0"/>
          <w:marRight w:val="0"/>
          <w:marTop w:val="0"/>
          <w:marBottom w:val="150"/>
          <w:divBdr>
            <w:top w:val="none" w:sz="0" w:space="0" w:color="auto"/>
            <w:left w:val="none" w:sz="0" w:space="0" w:color="auto"/>
            <w:bottom w:val="none" w:sz="0" w:space="0" w:color="auto"/>
            <w:right w:val="none" w:sz="0" w:space="0" w:color="auto"/>
          </w:divBdr>
        </w:div>
        <w:div w:id="999847568">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france.gouv.fr/affichTexteArticle.do;jsessionid=A86C5F44B735C3387682E85BEFAFA857.tplgfr35s_1?cidTexte=JORFTEXT000031689251&amp;idArticle=LEGIARTI000031693182&amp;dateTexte=20151227" TargetMode="External"/><Relationship Id="rId3" Type="http://schemas.openxmlformats.org/officeDocument/2006/relationships/settings" Target="settings.xml"/><Relationship Id="rId7" Type="http://schemas.openxmlformats.org/officeDocument/2006/relationships/hyperlink" Target="https://www.legifrance.gouv.fr/affichCodeArticle.do;jsessionid=A86C5F44B735C3387682E85BEFAFA857.tplgfr35s_1?idArticle=LEGIARTI000031695050&amp;cidTexte=LEGITEXT000006074220&amp;dateTexte=2020033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legifrance.gouv.fr/affichTexteArticle.do;jsessionid=A86C5F44B735C3387682E85BEFAFA857.tplgfr35s_1?cidTexte=JORFTEXT000031689251&amp;idArticle=LEGIARTI000031693190&amp;dateTexte=20151227" TargetMode="External"/><Relationship Id="rId11" Type="http://schemas.openxmlformats.org/officeDocument/2006/relationships/theme" Target="theme/theme1.xml"/><Relationship Id="rId5" Type="http://schemas.openxmlformats.org/officeDocument/2006/relationships/hyperlink" Target="https://www.legifrance.gouv.fr/affichCodeArticle.do;jsessionid=A86C5F44B735C3387682E85BEFAFA857.tplgfr35s_1?idArticle=LEGIARTI000031695024&amp;cidTexte=LEGITEXT000006074220&amp;dateTexte=20200331"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france.gouv.fr/affichCodeArticle.do?cidTexte=LEGITEXT000006074220&amp;idArticle=LEGIARTI000006833225&amp;dateTexte=&amp;categorieLien=cid"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769</Words>
  <Characters>4230</Characters>
  <Application>Microsoft Office Word</Application>
  <DocSecurity>0</DocSecurity>
  <Lines>35</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SCP</dc:creator>
  <cp:lastModifiedBy>SCP</cp:lastModifiedBy>
  <cp:revision>2</cp:revision>
  <dcterms:created xsi:type="dcterms:W3CDTF">2020-03-31T08:36:00Z</dcterms:created>
  <dcterms:modified xsi:type="dcterms:W3CDTF">2020-03-31T09:08:00Z</dcterms:modified>
</cp:coreProperties>
</file>