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7C4" w:rsidRPr="00DE6672" w:rsidRDefault="003407C4" w:rsidP="006F269D">
      <w:pPr>
        <w:jc w:val="both"/>
        <w:rPr>
          <w:sz w:val="24"/>
          <w:szCs w:val="24"/>
        </w:rPr>
      </w:pPr>
    </w:p>
    <w:p w:rsidR="003407C4" w:rsidRPr="00DE6672" w:rsidRDefault="003407C4" w:rsidP="006F269D">
      <w:pPr>
        <w:jc w:val="both"/>
        <w:rPr>
          <w:sz w:val="24"/>
          <w:szCs w:val="24"/>
        </w:rPr>
      </w:pPr>
    </w:p>
    <w:p w:rsidR="003407C4" w:rsidRPr="00DE6672" w:rsidRDefault="003407C4" w:rsidP="006F269D">
      <w:pPr>
        <w:jc w:val="both"/>
        <w:rPr>
          <w:sz w:val="24"/>
          <w:szCs w:val="24"/>
        </w:rPr>
      </w:pPr>
      <w:r w:rsidRPr="00DE6672">
        <w:rPr>
          <w:sz w:val="24"/>
          <w:szCs w:val="24"/>
        </w:rPr>
        <w:t xml:space="preserve">L’abrogation et </w:t>
      </w:r>
      <w:r w:rsidR="00BD6B0E">
        <w:rPr>
          <w:sz w:val="24"/>
          <w:szCs w:val="24"/>
        </w:rPr>
        <w:t>l</w:t>
      </w:r>
      <w:r w:rsidRPr="00DE6672">
        <w:rPr>
          <w:sz w:val="24"/>
          <w:szCs w:val="24"/>
        </w:rPr>
        <w:t xml:space="preserve">e retrait des actes administratifs : mais c’est </w:t>
      </w:r>
      <w:r w:rsidR="00DE6672">
        <w:rPr>
          <w:sz w:val="24"/>
          <w:szCs w:val="24"/>
        </w:rPr>
        <w:t xml:space="preserve">beaucoup </w:t>
      </w:r>
      <w:r w:rsidRPr="00DE6672">
        <w:rPr>
          <w:sz w:val="24"/>
          <w:szCs w:val="24"/>
        </w:rPr>
        <w:t>plus simple</w:t>
      </w:r>
      <w:r w:rsidR="00DE6672">
        <w:rPr>
          <w:sz w:val="24"/>
          <w:szCs w:val="24"/>
        </w:rPr>
        <w:t> ?</w:t>
      </w:r>
    </w:p>
    <w:p w:rsidR="003407C4" w:rsidRPr="00DE6672" w:rsidRDefault="003407C4" w:rsidP="006F269D">
      <w:pPr>
        <w:jc w:val="both"/>
        <w:rPr>
          <w:sz w:val="24"/>
          <w:szCs w:val="24"/>
        </w:rPr>
      </w:pPr>
      <w:r w:rsidRPr="00DE6672">
        <w:rPr>
          <w:sz w:val="24"/>
          <w:szCs w:val="24"/>
        </w:rPr>
        <w:t xml:space="preserve">C’est désormais le code des relations entre le public et l’administration </w:t>
      </w:r>
      <w:hyperlink r:id="rId6" w:history="1">
        <w:r w:rsidRPr="00DE6672">
          <w:rPr>
            <w:rStyle w:val="Lienhypertexte"/>
            <w:sz w:val="24"/>
            <w:szCs w:val="24"/>
          </w:rPr>
          <w:t xml:space="preserve">(C.R.P.A.) </w:t>
        </w:r>
      </w:hyperlink>
      <w:r w:rsidRPr="00DE6672">
        <w:rPr>
          <w:sz w:val="24"/>
          <w:szCs w:val="24"/>
        </w:rPr>
        <w:t xml:space="preserve"> qui  codifie à droit constant, dans un but de simplification, les règles de retrait et d’abrogation  des actes administratifs unilatéraux</w:t>
      </w:r>
      <w:r w:rsidR="00DE6672">
        <w:rPr>
          <w:sz w:val="24"/>
          <w:szCs w:val="24"/>
        </w:rPr>
        <w:t>.</w:t>
      </w:r>
    </w:p>
    <w:p w:rsidR="003407C4" w:rsidRPr="00DE6672" w:rsidRDefault="003407C4" w:rsidP="006F269D">
      <w:pPr>
        <w:jc w:val="both"/>
        <w:rPr>
          <w:rFonts w:cs="Arial"/>
          <w:sz w:val="24"/>
          <w:szCs w:val="24"/>
        </w:rPr>
      </w:pPr>
      <w:r w:rsidRPr="00DE6672">
        <w:rPr>
          <w:sz w:val="24"/>
          <w:szCs w:val="24"/>
        </w:rPr>
        <w:t xml:space="preserve">Ces nouvelles dispositions qui ont pour but de </w:t>
      </w:r>
      <w:r w:rsidRPr="00DE6672">
        <w:rPr>
          <w:rFonts w:cs="Arial"/>
          <w:sz w:val="24"/>
          <w:szCs w:val="24"/>
        </w:rPr>
        <w:t>« </w:t>
      </w:r>
      <w:r w:rsidRPr="00DE6672">
        <w:rPr>
          <w:rStyle w:val="Accentuation"/>
          <w:rFonts w:cs="Arial"/>
          <w:sz w:val="24"/>
          <w:szCs w:val="24"/>
        </w:rPr>
        <w:t>simplifier les règles de retrait et d’abrogation des actes unilatéraux de l’administration dans un objectif d’harmonisation et de sécurité juridique</w:t>
      </w:r>
      <w:r w:rsidRPr="00DE6672">
        <w:rPr>
          <w:rFonts w:cs="Arial"/>
          <w:sz w:val="24"/>
          <w:szCs w:val="24"/>
        </w:rPr>
        <w:t xml:space="preserve"> », ainsi que le prévoyait </w:t>
      </w:r>
      <w:hyperlink r:id="rId7" w:history="1">
        <w:r w:rsidRPr="00DE6672">
          <w:rPr>
            <w:rStyle w:val="Lienhypertexte"/>
            <w:rFonts w:cs="Arial"/>
            <w:sz w:val="24"/>
            <w:szCs w:val="24"/>
          </w:rPr>
          <w:t>l'article 3</w:t>
        </w:r>
      </w:hyperlink>
      <w:r w:rsidRPr="00DE6672">
        <w:rPr>
          <w:rFonts w:cs="Arial"/>
          <w:sz w:val="24"/>
          <w:szCs w:val="24"/>
        </w:rPr>
        <w:t xml:space="preserve"> de la loi n° 2013-1005 du 12 novembre 2013 habilitant le Gouvernement à simplifier les relations entre l'administration et les citoyens</w:t>
      </w:r>
      <w:r w:rsidRPr="00DE6672">
        <w:rPr>
          <w:rFonts w:cs="Arial"/>
          <w:sz w:val="24"/>
          <w:szCs w:val="24"/>
        </w:rPr>
        <w:t>, sont applicables à partir du 1</w:t>
      </w:r>
      <w:r w:rsidRPr="00DE6672">
        <w:rPr>
          <w:rFonts w:cs="Arial"/>
          <w:sz w:val="24"/>
          <w:szCs w:val="24"/>
          <w:vertAlign w:val="superscript"/>
        </w:rPr>
        <w:t>er</w:t>
      </w:r>
      <w:r w:rsidRPr="00DE6672">
        <w:rPr>
          <w:rFonts w:cs="Arial"/>
          <w:sz w:val="24"/>
          <w:szCs w:val="24"/>
        </w:rPr>
        <w:t xml:space="preserve"> juin 2016.</w:t>
      </w:r>
    </w:p>
    <w:p w:rsidR="00A851A0" w:rsidRPr="00DE6672" w:rsidRDefault="00DE6672" w:rsidP="00DE6672">
      <w:pPr>
        <w:jc w:val="both"/>
        <w:rPr>
          <w:rFonts w:cs="Arial"/>
          <w:b/>
          <w:sz w:val="24"/>
          <w:szCs w:val="24"/>
        </w:rPr>
      </w:pPr>
      <w:r w:rsidRPr="00DE6672">
        <w:rPr>
          <w:rFonts w:cs="Arial"/>
          <w:b/>
          <w:sz w:val="24"/>
          <w:szCs w:val="24"/>
        </w:rPr>
        <w:t xml:space="preserve">1° </w:t>
      </w:r>
      <w:r w:rsidR="00A851A0" w:rsidRPr="00DE6672">
        <w:rPr>
          <w:rFonts w:cs="Arial"/>
          <w:b/>
          <w:sz w:val="24"/>
          <w:szCs w:val="24"/>
        </w:rPr>
        <w:t xml:space="preserve">Les dispositions du </w:t>
      </w:r>
      <w:r w:rsidR="00692441" w:rsidRPr="00DE6672">
        <w:rPr>
          <w:b/>
          <w:sz w:val="24"/>
          <w:szCs w:val="24"/>
        </w:rPr>
        <w:t xml:space="preserve">code des relations entre le public et l’administration </w:t>
      </w:r>
      <w:hyperlink r:id="rId8" w:history="1">
        <w:r w:rsidR="00692441" w:rsidRPr="00DE6672">
          <w:rPr>
            <w:rStyle w:val="Lienhypertexte"/>
            <w:b/>
            <w:sz w:val="24"/>
            <w:szCs w:val="24"/>
          </w:rPr>
          <w:t xml:space="preserve">(C.R.P.A.) </w:t>
        </w:r>
      </w:hyperlink>
      <w:r w:rsidR="00692441" w:rsidRPr="00DE6672">
        <w:rPr>
          <w:b/>
          <w:sz w:val="24"/>
          <w:szCs w:val="24"/>
        </w:rPr>
        <w:t xml:space="preserve">applicables à la sortie de vigueur des actes administratifs : </w:t>
      </w:r>
    </w:p>
    <w:p w:rsidR="00D911B8" w:rsidRPr="00DE6672" w:rsidRDefault="00D911B8" w:rsidP="006F269D">
      <w:pPr>
        <w:jc w:val="both"/>
        <w:rPr>
          <w:sz w:val="24"/>
          <w:szCs w:val="24"/>
        </w:rPr>
      </w:pPr>
      <w:r w:rsidRPr="00DE6672">
        <w:rPr>
          <w:rStyle w:val="tm2code"/>
          <w:rFonts w:cs="Arial"/>
          <w:b/>
          <w:bCs/>
          <w:color w:val="000000"/>
          <w:sz w:val="24"/>
          <w:szCs w:val="24"/>
          <w:shd w:val="clear" w:color="auto" w:fill="FFFFFF"/>
        </w:rPr>
        <w:t>Titre IV : LA SORTIE DE VIGUEUR DES ACTES ADMINISTRATIFS</w:t>
      </w:r>
      <w:r w:rsidRPr="00DE6672">
        <w:rPr>
          <w:rStyle w:val="apple-converted-space"/>
          <w:rFonts w:cs="Arial"/>
          <w:color w:val="000000"/>
          <w:sz w:val="24"/>
          <w:szCs w:val="24"/>
          <w:shd w:val="clear" w:color="auto" w:fill="FFFFFF"/>
        </w:rPr>
        <w:t> </w:t>
      </w:r>
      <w:r w:rsidRPr="00DE6672">
        <w:rPr>
          <w:rStyle w:val="codelienart"/>
          <w:rFonts w:cs="Arial"/>
          <w:color w:val="000000"/>
          <w:sz w:val="24"/>
          <w:szCs w:val="24"/>
          <w:shd w:val="clear" w:color="auto" w:fill="FFFFFF"/>
        </w:rPr>
        <w:t>(</w:t>
      </w:r>
      <w:hyperlink r:id="rId9" w:history="1">
        <w:r w:rsidRPr="00DE6672">
          <w:rPr>
            <w:rStyle w:val="Lienhypertexte"/>
            <w:rFonts w:cs="Arial"/>
            <w:color w:val="336699"/>
            <w:sz w:val="24"/>
            <w:szCs w:val="24"/>
            <w:shd w:val="clear" w:color="auto" w:fill="FFFFFF"/>
          </w:rPr>
          <w:t xml:space="preserve">Articles </w:t>
        </w:r>
        <w:r w:rsidRPr="00DE6672">
          <w:rPr>
            <w:rStyle w:val="Lienhypertexte"/>
            <w:rFonts w:cs="Arial"/>
            <w:color w:val="336699"/>
            <w:sz w:val="24"/>
            <w:szCs w:val="24"/>
            <w:shd w:val="clear" w:color="auto" w:fill="FFFFFF"/>
          </w:rPr>
          <w:t>L</w:t>
        </w:r>
        <w:r w:rsidRPr="00DE6672">
          <w:rPr>
            <w:rStyle w:val="Lienhypertexte"/>
            <w:rFonts w:cs="Arial"/>
            <w:color w:val="336699"/>
            <w:sz w:val="24"/>
            <w:szCs w:val="24"/>
            <w:shd w:val="clear" w:color="auto" w:fill="FFFFFF"/>
          </w:rPr>
          <w:t>2</w:t>
        </w:r>
        <w:r w:rsidRPr="00DE6672">
          <w:rPr>
            <w:rStyle w:val="Lienhypertexte"/>
            <w:rFonts w:cs="Arial"/>
            <w:color w:val="336699"/>
            <w:sz w:val="24"/>
            <w:szCs w:val="24"/>
            <w:shd w:val="clear" w:color="auto" w:fill="FFFFFF"/>
          </w:rPr>
          <w:t>4</w:t>
        </w:r>
        <w:r w:rsidRPr="00DE6672">
          <w:rPr>
            <w:rStyle w:val="Lienhypertexte"/>
            <w:rFonts w:cs="Arial"/>
            <w:color w:val="336699"/>
            <w:sz w:val="24"/>
            <w:szCs w:val="24"/>
            <w:shd w:val="clear" w:color="auto" w:fill="FFFFFF"/>
          </w:rPr>
          <w:t>0-1 à L240-2</w:t>
        </w:r>
      </w:hyperlink>
      <w:r w:rsidRPr="00DE6672">
        <w:rPr>
          <w:rStyle w:val="codelienart"/>
          <w:rFonts w:cs="Arial"/>
          <w:color w:val="000000"/>
          <w:sz w:val="24"/>
          <w:szCs w:val="24"/>
          <w:shd w:val="clear" w:color="auto" w:fill="FFFFFF"/>
        </w:rPr>
        <w:t>)</w:t>
      </w:r>
    </w:p>
    <w:p w:rsidR="00D911B8" w:rsidRPr="00DE6672" w:rsidRDefault="00D911B8" w:rsidP="006F269D">
      <w:pPr>
        <w:numPr>
          <w:ilvl w:val="0"/>
          <w:numId w:val="1"/>
        </w:numPr>
        <w:shd w:val="clear" w:color="auto" w:fill="FFFFFF"/>
        <w:spacing w:before="60" w:after="60" w:line="360" w:lineRule="atLeast"/>
        <w:ind w:left="180"/>
        <w:jc w:val="both"/>
        <w:rPr>
          <w:rFonts w:cs="Arial"/>
          <w:color w:val="000000"/>
          <w:sz w:val="24"/>
          <w:szCs w:val="24"/>
        </w:rPr>
      </w:pPr>
      <w:r w:rsidRPr="00DE6672">
        <w:rPr>
          <w:rStyle w:val="tm3code"/>
          <w:rFonts w:cs="Arial"/>
          <w:bCs/>
          <w:color w:val="000000"/>
          <w:sz w:val="24"/>
          <w:szCs w:val="24"/>
        </w:rPr>
        <w:t>Chapitre Ier : Règles générales</w:t>
      </w:r>
      <w:r w:rsidRPr="00DE6672">
        <w:rPr>
          <w:rStyle w:val="apple-converted-space"/>
          <w:rFonts w:cs="Arial"/>
          <w:color w:val="000000"/>
          <w:sz w:val="24"/>
          <w:szCs w:val="24"/>
        </w:rPr>
        <w:t> </w:t>
      </w:r>
      <w:r w:rsidRPr="00DE6672">
        <w:rPr>
          <w:rStyle w:val="codelienart"/>
          <w:rFonts w:cs="Arial"/>
          <w:color w:val="000000"/>
          <w:sz w:val="24"/>
          <w:szCs w:val="24"/>
        </w:rPr>
        <w:t>(</w:t>
      </w:r>
      <w:hyperlink r:id="rId10" w:history="1">
        <w:r w:rsidRPr="00DE6672">
          <w:rPr>
            <w:rStyle w:val="Lienhypertexte"/>
            <w:rFonts w:cs="Arial"/>
            <w:color w:val="336699"/>
            <w:sz w:val="24"/>
            <w:szCs w:val="24"/>
          </w:rPr>
          <w:t>Articles L241-1 à L24</w:t>
        </w:r>
        <w:r w:rsidRPr="00DE6672">
          <w:rPr>
            <w:rStyle w:val="Lienhypertexte"/>
            <w:rFonts w:cs="Arial"/>
            <w:color w:val="336699"/>
            <w:sz w:val="24"/>
            <w:szCs w:val="24"/>
          </w:rPr>
          <w:t>1</w:t>
        </w:r>
        <w:r w:rsidRPr="00DE6672">
          <w:rPr>
            <w:rStyle w:val="Lienhypertexte"/>
            <w:rFonts w:cs="Arial"/>
            <w:color w:val="336699"/>
            <w:sz w:val="24"/>
            <w:szCs w:val="24"/>
          </w:rPr>
          <w:t>-2</w:t>
        </w:r>
      </w:hyperlink>
      <w:r w:rsidRPr="00DE6672">
        <w:rPr>
          <w:rStyle w:val="codelienart"/>
          <w:rFonts w:cs="Arial"/>
          <w:color w:val="000000"/>
          <w:sz w:val="24"/>
          <w:szCs w:val="24"/>
        </w:rPr>
        <w:t>)</w:t>
      </w:r>
    </w:p>
    <w:p w:rsidR="00D911B8" w:rsidRPr="00DE6672" w:rsidRDefault="00D911B8" w:rsidP="006F269D">
      <w:pPr>
        <w:numPr>
          <w:ilvl w:val="0"/>
          <w:numId w:val="2"/>
        </w:numPr>
        <w:shd w:val="clear" w:color="auto" w:fill="FFFFFF"/>
        <w:spacing w:before="60" w:after="60" w:line="360" w:lineRule="atLeast"/>
        <w:ind w:left="180"/>
        <w:jc w:val="both"/>
        <w:rPr>
          <w:rFonts w:cs="Arial"/>
          <w:color w:val="000000"/>
          <w:sz w:val="24"/>
          <w:szCs w:val="24"/>
        </w:rPr>
      </w:pPr>
      <w:r w:rsidRPr="00DE6672">
        <w:rPr>
          <w:rStyle w:val="tm3code"/>
          <w:rFonts w:cs="Arial"/>
          <w:bCs/>
          <w:color w:val="000000"/>
          <w:sz w:val="24"/>
          <w:szCs w:val="24"/>
        </w:rPr>
        <w:t>Chapitre II : Les décisions créatrices de droits</w:t>
      </w:r>
    </w:p>
    <w:p w:rsidR="00D911B8" w:rsidRPr="00DE6672" w:rsidRDefault="00D911B8" w:rsidP="006F269D">
      <w:pPr>
        <w:numPr>
          <w:ilvl w:val="1"/>
          <w:numId w:val="2"/>
        </w:numPr>
        <w:shd w:val="clear" w:color="auto" w:fill="FFFFFF"/>
        <w:spacing w:before="60" w:after="60" w:line="360" w:lineRule="atLeast"/>
        <w:ind w:left="360"/>
        <w:jc w:val="both"/>
        <w:rPr>
          <w:rFonts w:cs="Arial"/>
          <w:color w:val="000000"/>
          <w:sz w:val="24"/>
          <w:szCs w:val="24"/>
        </w:rPr>
      </w:pPr>
      <w:r w:rsidRPr="00DE6672">
        <w:rPr>
          <w:rStyle w:val="tm4code"/>
          <w:rFonts w:cs="Arial"/>
          <w:bCs/>
          <w:color w:val="000000"/>
          <w:sz w:val="24"/>
          <w:szCs w:val="24"/>
        </w:rPr>
        <w:t>Section 1 : Abrogation et retrait à l'initiative de l'administration ou sur demande d'un tiers</w:t>
      </w:r>
      <w:r w:rsidRPr="00DE6672">
        <w:rPr>
          <w:rStyle w:val="apple-converted-space"/>
          <w:rFonts w:cs="Arial"/>
          <w:color w:val="000000"/>
          <w:sz w:val="24"/>
          <w:szCs w:val="24"/>
        </w:rPr>
        <w:t> </w:t>
      </w:r>
      <w:r w:rsidRPr="00DE6672">
        <w:rPr>
          <w:rStyle w:val="codelienart"/>
          <w:rFonts w:cs="Arial"/>
          <w:color w:val="000000"/>
          <w:sz w:val="24"/>
          <w:szCs w:val="24"/>
        </w:rPr>
        <w:t>(</w:t>
      </w:r>
      <w:hyperlink r:id="rId11" w:history="1">
        <w:r w:rsidRPr="00DE6672">
          <w:rPr>
            <w:rStyle w:val="Lienhypertexte"/>
            <w:rFonts w:cs="Arial"/>
            <w:color w:val="336699"/>
            <w:sz w:val="24"/>
            <w:szCs w:val="24"/>
          </w:rPr>
          <w:t>Articles L242-1 à L242-2</w:t>
        </w:r>
      </w:hyperlink>
      <w:r w:rsidRPr="00DE6672">
        <w:rPr>
          <w:rStyle w:val="codelienart"/>
          <w:rFonts w:cs="Arial"/>
          <w:color w:val="000000"/>
          <w:sz w:val="24"/>
          <w:szCs w:val="24"/>
        </w:rPr>
        <w:t>)</w:t>
      </w:r>
    </w:p>
    <w:p w:rsidR="00D911B8" w:rsidRPr="00DE6672" w:rsidRDefault="00D911B8" w:rsidP="006F269D">
      <w:pPr>
        <w:numPr>
          <w:ilvl w:val="1"/>
          <w:numId w:val="2"/>
        </w:numPr>
        <w:shd w:val="clear" w:color="auto" w:fill="FFFFFF"/>
        <w:spacing w:before="60" w:after="60" w:line="360" w:lineRule="atLeast"/>
        <w:ind w:left="360"/>
        <w:jc w:val="both"/>
        <w:rPr>
          <w:rFonts w:cs="Arial"/>
          <w:color w:val="000000"/>
          <w:sz w:val="24"/>
          <w:szCs w:val="24"/>
        </w:rPr>
      </w:pPr>
      <w:r w:rsidRPr="00DE6672">
        <w:rPr>
          <w:rStyle w:val="tm4code"/>
          <w:rFonts w:cs="Arial"/>
          <w:bCs/>
          <w:color w:val="000000"/>
          <w:sz w:val="24"/>
          <w:szCs w:val="24"/>
        </w:rPr>
        <w:t>Section 2 : Abrogation et retrait sur demande du bénéficiaire</w:t>
      </w:r>
      <w:r w:rsidRPr="00DE6672">
        <w:rPr>
          <w:rStyle w:val="apple-converted-space"/>
          <w:rFonts w:cs="Arial"/>
          <w:color w:val="000000"/>
          <w:sz w:val="24"/>
          <w:szCs w:val="24"/>
        </w:rPr>
        <w:t> </w:t>
      </w:r>
      <w:r w:rsidRPr="00DE6672">
        <w:rPr>
          <w:rStyle w:val="codelienart"/>
          <w:rFonts w:cs="Arial"/>
          <w:color w:val="000000"/>
          <w:sz w:val="24"/>
          <w:szCs w:val="24"/>
        </w:rPr>
        <w:t>(</w:t>
      </w:r>
      <w:hyperlink r:id="rId12" w:history="1">
        <w:r w:rsidRPr="00DE6672">
          <w:rPr>
            <w:rStyle w:val="Lienhypertexte"/>
            <w:rFonts w:cs="Arial"/>
            <w:color w:val="336699"/>
            <w:sz w:val="24"/>
            <w:szCs w:val="24"/>
          </w:rPr>
          <w:t>Articles L242-3 à L242-4</w:t>
        </w:r>
      </w:hyperlink>
      <w:r w:rsidRPr="00DE6672">
        <w:rPr>
          <w:rStyle w:val="codelienart"/>
          <w:rFonts w:cs="Arial"/>
          <w:color w:val="000000"/>
          <w:sz w:val="24"/>
          <w:szCs w:val="24"/>
        </w:rPr>
        <w:t>)</w:t>
      </w:r>
    </w:p>
    <w:p w:rsidR="00D911B8" w:rsidRPr="00DE6672" w:rsidRDefault="00D911B8" w:rsidP="006F269D">
      <w:pPr>
        <w:numPr>
          <w:ilvl w:val="1"/>
          <w:numId w:val="2"/>
        </w:numPr>
        <w:shd w:val="clear" w:color="auto" w:fill="FFFFFF"/>
        <w:spacing w:before="60" w:after="60" w:line="360" w:lineRule="atLeast"/>
        <w:ind w:left="360"/>
        <w:jc w:val="both"/>
        <w:rPr>
          <w:rFonts w:cs="Arial"/>
          <w:color w:val="000000"/>
          <w:sz w:val="24"/>
          <w:szCs w:val="24"/>
        </w:rPr>
      </w:pPr>
      <w:r w:rsidRPr="00DE6672">
        <w:rPr>
          <w:rStyle w:val="tm4code"/>
          <w:rFonts w:cs="Arial"/>
          <w:bCs/>
          <w:color w:val="000000"/>
          <w:sz w:val="24"/>
          <w:szCs w:val="24"/>
        </w:rPr>
        <w:t>Section 3 : Abrogation et retrait dans le cadre d'un recours administratif préalable obligatoire</w:t>
      </w:r>
      <w:r w:rsidRPr="00DE6672">
        <w:rPr>
          <w:rStyle w:val="apple-converted-space"/>
          <w:rFonts w:cs="Arial"/>
          <w:color w:val="000000"/>
          <w:sz w:val="24"/>
          <w:szCs w:val="24"/>
        </w:rPr>
        <w:t> </w:t>
      </w:r>
      <w:r w:rsidRPr="00DE6672">
        <w:rPr>
          <w:rStyle w:val="codelienart"/>
          <w:rFonts w:cs="Arial"/>
          <w:color w:val="000000"/>
          <w:sz w:val="24"/>
          <w:szCs w:val="24"/>
        </w:rPr>
        <w:t>(</w:t>
      </w:r>
      <w:hyperlink r:id="rId13" w:history="1">
        <w:r w:rsidRPr="00DE6672">
          <w:rPr>
            <w:rStyle w:val="Lienhypertexte"/>
            <w:rFonts w:cs="Arial"/>
            <w:color w:val="336699"/>
            <w:sz w:val="24"/>
            <w:szCs w:val="24"/>
          </w:rPr>
          <w:t>Article L242-5</w:t>
        </w:r>
      </w:hyperlink>
      <w:r w:rsidRPr="00DE6672">
        <w:rPr>
          <w:rStyle w:val="codelienart"/>
          <w:rFonts w:cs="Arial"/>
          <w:color w:val="000000"/>
          <w:sz w:val="24"/>
          <w:szCs w:val="24"/>
        </w:rPr>
        <w:t>)</w:t>
      </w:r>
    </w:p>
    <w:p w:rsidR="00D911B8" w:rsidRPr="00DE6672" w:rsidRDefault="00D911B8" w:rsidP="006F269D">
      <w:pPr>
        <w:numPr>
          <w:ilvl w:val="0"/>
          <w:numId w:val="3"/>
        </w:numPr>
        <w:shd w:val="clear" w:color="auto" w:fill="FFFFFF"/>
        <w:spacing w:before="60" w:after="60" w:line="360" w:lineRule="atLeast"/>
        <w:ind w:left="180"/>
        <w:jc w:val="both"/>
        <w:rPr>
          <w:rFonts w:cs="Arial"/>
          <w:color w:val="000000"/>
          <w:sz w:val="24"/>
          <w:szCs w:val="24"/>
        </w:rPr>
      </w:pPr>
      <w:r w:rsidRPr="00DE6672">
        <w:rPr>
          <w:rStyle w:val="tm3code"/>
          <w:rFonts w:cs="Arial"/>
          <w:bCs/>
          <w:color w:val="000000"/>
          <w:sz w:val="24"/>
          <w:szCs w:val="24"/>
        </w:rPr>
        <w:t>Chapitre III : Les actes réglementaires et les actes non réglementaires non créateurs de droits</w:t>
      </w:r>
    </w:p>
    <w:p w:rsidR="00D911B8" w:rsidRPr="00DE6672" w:rsidRDefault="00D911B8" w:rsidP="006F269D">
      <w:pPr>
        <w:numPr>
          <w:ilvl w:val="1"/>
          <w:numId w:val="3"/>
        </w:numPr>
        <w:shd w:val="clear" w:color="auto" w:fill="FFFFFF"/>
        <w:spacing w:before="60" w:after="60" w:line="360" w:lineRule="atLeast"/>
        <w:ind w:left="360"/>
        <w:jc w:val="both"/>
        <w:rPr>
          <w:rFonts w:cs="Arial"/>
          <w:color w:val="000000"/>
          <w:sz w:val="24"/>
          <w:szCs w:val="24"/>
        </w:rPr>
      </w:pPr>
      <w:r w:rsidRPr="00DE6672">
        <w:rPr>
          <w:rStyle w:val="tm4code"/>
          <w:rFonts w:cs="Arial"/>
          <w:bCs/>
          <w:color w:val="000000"/>
          <w:sz w:val="24"/>
          <w:szCs w:val="24"/>
        </w:rPr>
        <w:t>Section 1 : Abrogation</w:t>
      </w:r>
      <w:r w:rsidRPr="00DE6672">
        <w:rPr>
          <w:rStyle w:val="apple-converted-space"/>
          <w:rFonts w:cs="Arial"/>
          <w:color w:val="000000"/>
          <w:sz w:val="24"/>
          <w:szCs w:val="24"/>
        </w:rPr>
        <w:t> </w:t>
      </w:r>
      <w:r w:rsidRPr="00DE6672">
        <w:rPr>
          <w:rStyle w:val="codelienart"/>
          <w:rFonts w:cs="Arial"/>
          <w:color w:val="000000"/>
          <w:sz w:val="24"/>
          <w:szCs w:val="24"/>
        </w:rPr>
        <w:t>(</w:t>
      </w:r>
      <w:hyperlink r:id="rId14" w:history="1">
        <w:r w:rsidRPr="00DE6672">
          <w:rPr>
            <w:rStyle w:val="Lienhypertexte"/>
            <w:rFonts w:cs="Arial"/>
            <w:color w:val="336699"/>
            <w:sz w:val="24"/>
            <w:szCs w:val="24"/>
          </w:rPr>
          <w:t>Articles L243</w:t>
        </w:r>
        <w:r w:rsidRPr="00DE6672">
          <w:rPr>
            <w:rStyle w:val="Lienhypertexte"/>
            <w:rFonts w:cs="Arial"/>
            <w:color w:val="336699"/>
            <w:sz w:val="24"/>
            <w:szCs w:val="24"/>
          </w:rPr>
          <w:t>-</w:t>
        </w:r>
        <w:r w:rsidRPr="00DE6672">
          <w:rPr>
            <w:rStyle w:val="Lienhypertexte"/>
            <w:rFonts w:cs="Arial"/>
            <w:color w:val="336699"/>
            <w:sz w:val="24"/>
            <w:szCs w:val="24"/>
          </w:rPr>
          <w:t>1 à L243-2</w:t>
        </w:r>
      </w:hyperlink>
      <w:r w:rsidRPr="00DE6672">
        <w:rPr>
          <w:rStyle w:val="codelienart"/>
          <w:rFonts w:cs="Arial"/>
          <w:color w:val="000000"/>
          <w:sz w:val="24"/>
          <w:szCs w:val="24"/>
        </w:rPr>
        <w:t>)</w:t>
      </w:r>
    </w:p>
    <w:p w:rsidR="00D911B8" w:rsidRPr="00DE6672" w:rsidRDefault="00D911B8" w:rsidP="006F269D">
      <w:pPr>
        <w:numPr>
          <w:ilvl w:val="1"/>
          <w:numId w:val="3"/>
        </w:numPr>
        <w:shd w:val="clear" w:color="auto" w:fill="FFFFFF"/>
        <w:spacing w:before="60" w:after="60" w:line="360" w:lineRule="atLeast"/>
        <w:ind w:left="360"/>
        <w:jc w:val="both"/>
        <w:rPr>
          <w:rFonts w:cs="Arial"/>
          <w:color w:val="000000"/>
          <w:sz w:val="24"/>
          <w:szCs w:val="24"/>
        </w:rPr>
      </w:pPr>
      <w:r w:rsidRPr="00DE6672">
        <w:rPr>
          <w:rStyle w:val="tm4code"/>
          <w:rFonts w:cs="Arial"/>
          <w:bCs/>
          <w:color w:val="000000"/>
          <w:sz w:val="24"/>
          <w:szCs w:val="24"/>
        </w:rPr>
        <w:t>Section 2 : Retrait</w:t>
      </w:r>
      <w:r w:rsidRPr="00DE6672">
        <w:rPr>
          <w:rStyle w:val="apple-converted-space"/>
          <w:rFonts w:cs="Arial"/>
          <w:color w:val="000000"/>
          <w:sz w:val="24"/>
          <w:szCs w:val="24"/>
        </w:rPr>
        <w:t> </w:t>
      </w:r>
      <w:r w:rsidRPr="00DE6672">
        <w:rPr>
          <w:rStyle w:val="codelienart"/>
          <w:rFonts w:cs="Arial"/>
          <w:color w:val="000000"/>
          <w:sz w:val="24"/>
          <w:szCs w:val="24"/>
        </w:rPr>
        <w:t>(</w:t>
      </w:r>
      <w:hyperlink r:id="rId15" w:history="1">
        <w:r w:rsidRPr="00DE6672">
          <w:rPr>
            <w:rStyle w:val="Lienhypertexte"/>
            <w:rFonts w:cs="Arial"/>
            <w:color w:val="336699"/>
            <w:sz w:val="24"/>
            <w:szCs w:val="24"/>
          </w:rPr>
          <w:t>Articles L24</w:t>
        </w:r>
        <w:r w:rsidRPr="00DE6672">
          <w:rPr>
            <w:rStyle w:val="Lienhypertexte"/>
            <w:rFonts w:cs="Arial"/>
            <w:color w:val="336699"/>
            <w:sz w:val="24"/>
            <w:szCs w:val="24"/>
          </w:rPr>
          <w:t>3</w:t>
        </w:r>
        <w:r w:rsidRPr="00DE6672">
          <w:rPr>
            <w:rStyle w:val="Lienhypertexte"/>
            <w:rFonts w:cs="Arial"/>
            <w:color w:val="336699"/>
            <w:sz w:val="24"/>
            <w:szCs w:val="24"/>
          </w:rPr>
          <w:t>-3 à L24</w:t>
        </w:r>
        <w:r w:rsidRPr="00DE6672">
          <w:rPr>
            <w:rStyle w:val="Lienhypertexte"/>
            <w:rFonts w:cs="Arial"/>
            <w:color w:val="336699"/>
            <w:sz w:val="24"/>
            <w:szCs w:val="24"/>
          </w:rPr>
          <w:t>3</w:t>
        </w:r>
        <w:r w:rsidRPr="00DE6672">
          <w:rPr>
            <w:rStyle w:val="Lienhypertexte"/>
            <w:rFonts w:cs="Arial"/>
            <w:color w:val="336699"/>
            <w:sz w:val="24"/>
            <w:szCs w:val="24"/>
          </w:rPr>
          <w:t>-4</w:t>
        </w:r>
      </w:hyperlink>
      <w:r w:rsidRPr="00DE6672">
        <w:rPr>
          <w:rStyle w:val="codelienart"/>
          <w:rFonts w:cs="Arial"/>
          <w:color w:val="000000"/>
          <w:sz w:val="24"/>
          <w:szCs w:val="24"/>
        </w:rPr>
        <w:t>)</w:t>
      </w:r>
    </w:p>
    <w:p w:rsidR="00D911B8" w:rsidRPr="00DE6672" w:rsidRDefault="00D911B8" w:rsidP="006F269D">
      <w:pPr>
        <w:jc w:val="both"/>
        <w:rPr>
          <w:rFonts w:cs="Arial"/>
          <w:sz w:val="24"/>
          <w:szCs w:val="24"/>
        </w:rPr>
      </w:pPr>
    </w:p>
    <w:p w:rsidR="00D911B8" w:rsidRPr="00DE6672" w:rsidRDefault="00DE6672" w:rsidP="006F269D">
      <w:pPr>
        <w:jc w:val="both"/>
        <w:rPr>
          <w:rFonts w:cs="Arial"/>
          <w:b/>
          <w:sz w:val="24"/>
          <w:szCs w:val="24"/>
        </w:rPr>
      </w:pPr>
      <w:r>
        <w:rPr>
          <w:rFonts w:cs="Arial"/>
          <w:b/>
          <w:sz w:val="24"/>
          <w:szCs w:val="24"/>
        </w:rPr>
        <w:t xml:space="preserve">2° </w:t>
      </w:r>
      <w:r w:rsidR="00D911B8" w:rsidRPr="00DE6672">
        <w:rPr>
          <w:rFonts w:cs="Arial"/>
          <w:b/>
          <w:sz w:val="24"/>
          <w:szCs w:val="24"/>
        </w:rPr>
        <w:t>En résumé :</w:t>
      </w:r>
    </w:p>
    <w:p w:rsidR="00D911B8" w:rsidRPr="00DE6672" w:rsidRDefault="00D911B8" w:rsidP="00DE6672">
      <w:pPr>
        <w:pStyle w:val="Paragraphedeliste"/>
        <w:numPr>
          <w:ilvl w:val="0"/>
          <w:numId w:val="6"/>
        </w:numPr>
        <w:jc w:val="both"/>
        <w:rPr>
          <w:rFonts w:cs="Arial"/>
          <w:sz w:val="24"/>
          <w:szCs w:val="24"/>
        </w:rPr>
      </w:pPr>
      <w:r w:rsidRPr="00DE6672">
        <w:rPr>
          <w:rFonts w:cs="Arial"/>
          <w:b/>
          <w:sz w:val="24"/>
          <w:szCs w:val="24"/>
        </w:rPr>
        <w:t xml:space="preserve"> Définition du retrait :</w:t>
      </w:r>
      <w:r w:rsidRPr="00DE6672">
        <w:rPr>
          <w:rFonts w:cs="Arial"/>
          <w:sz w:val="24"/>
          <w:szCs w:val="24"/>
        </w:rPr>
        <w:t xml:space="preserve"> </w:t>
      </w:r>
      <w:r w:rsidRPr="00DE6672">
        <w:t xml:space="preserve">disparition juridique </w:t>
      </w:r>
      <w:r w:rsidRPr="00DE6672">
        <w:t xml:space="preserve">de l’acte </w:t>
      </w:r>
      <w:r w:rsidRPr="00DE6672">
        <w:t>pour l'avenir comme pour le passé.</w:t>
      </w:r>
    </w:p>
    <w:p w:rsidR="00D911B8" w:rsidRPr="00DE6672" w:rsidRDefault="00D911B8" w:rsidP="00DE6672">
      <w:pPr>
        <w:pStyle w:val="Paragraphedeliste"/>
        <w:numPr>
          <w:ilvl w:val="0"/>
          <w:numId w:val="6"/>
        </w:numPr>
        <w:jc w:val="both"/>
        <w:rPr>
          <w:rFonts w:cs="Arial"/>
          <w:sz w:val="24"/>
          <w:szCs w:val="24"/>
        </w:rPr>
      </w:pPr>
      <w:r w:rsidRPr="00DE6672">
        <w:rPr>
          <w:rFonts w:cs="Arial"/>
          <w:b/>
          <w:sz w:val="24"/>
          <w:szCs w:val="24"/>
        </w:rPr>
        <w:t xml:space="preserve"> Définition de l’abrogation :</w:t>
      </w:r>
      <w:r w:rsidRPr="00DE6672">
        <w:rPr>
          <w:rFonts w:cs="Arial"/>
          <w:sz w:val="24"/>
          <w:szCs w:val="24"/>
        </w:rPr>
        <w:t xml:space="preserve"> </w:t>
      </w:r>
      <w:r w:rsidRPr="00DE6672">
        <w:t xml:space="preserve">disparition juridique </w:t>
      </w:r>
      <w:r w:rsidRPr="00DE6672">
        <w:t xml:space="preserve">de l’acte uniquement </w:t>
      </w:r>
      <w:r w:rsidRPr="00DE6672">
        <w:t>pour l'avenir</w:t>
      </w:r>
    </w:p>
    <w:p w:rsidR="003407C4" w:rsidRPr="00DE6672" w:rsidRDefault="00D911B8" w:rsidP="006F269D">
      <w:pPr>
        <w:jc w:val="both"/>
        <w:rPr>
          <w:sz w:val="24"/>
          <w:szCs w:val="24"/>
        </w:rPr>
      </w:pPr>
      <w:r w:rsidRPr="00DE6672">
        <w:t>(</w:t>
      </w:r>
      <w:r w:rsidRPr="00DE6672">
        <w:t xml:space="preserve">Article </w:t>
      </w:r>
      <w:hyperlink r:id="rId16" w:history="1">
        <w:r w:rsidRPr="00DE6672">
          <w:rPr>
            <w:rStyle w:val="Lienhypertexte"/>
          </w:rPr>
          <w:t>L.240-1</w:t>
        </w:r>
      </w:hyperlink>
      <w:r w:rsidRPr="00DE6672">
        <w:t xml:space="preserve"> </w:t>
      </w:r>
      <w:r w:rsidRPr="00DE6672">
        <w:t xml:space="preserve">du </w:t>
      </w:r>
      <w:r w:rsidRPr="00DE6672">
        <w:rPr>
          <w:sz w:val="24"/>
          <w:szCs w:val="24"/>
        </w:rPr>
        <w:t>code des relations entre le public et l’administration</w:t>
      </w:r>
      <w:r w:rsidRPr="00DE6672">
        <w:rPr>
          <w:sz w:val="24"/>
          <w:szCs w:val="24"/>
        </w:rPr>
        <w:t>)</w:t>
      </w:r>
    </w:p>
    <w:p w:rsidR="00D911B8" w:rsidRPr="00DE6672" w:rsidRDefault="00D911B8" w:rsidP="00DE6672">
      <w:pPr>
        <w:pStyle w:val="Paragraphedeliste"/>
        <w:numPr>
          <w:ilvl w:val="0"/>
          <w:numId w:val="6"/>
        </w:numPr>
        <w:jc w:val="both"/>
        <w:rPr>
          <w:rFonts w:cs="Arial"/>
          <w:b/>
          <w:sz w:val="24"/>
          <w:szCs w:val="24"/>
        </w:rPr>
      </w:pPr>
      <w:r w:rsidRPr="00DE6672">
        <w:rPr>
          <w:b/>
          <w:sz w:val="24"/>
          <w:szCs w:val="24"/>
        </w:rPr>
        <w:t>Tableau explicatif</w:t>
      </w:r>
      <w:r w:rsidR="00692441" w:rsidRPr="00DE6672">
        <w:rPr>
          <w:b/>
          <w:sz w:val="24"/>
          <w:szCs w:val="24"/>
        </w:rPr>
        <w:t> :</w:t>
      </w:r>
    </w:p>
    <w:tbl>
      <w:tblPr>
        <w:tblStyle w:val="Grilledutableau"/>
        <w:tblW w:w="0" w:type="auto"/>
        <w:tblLook w:val="04A0" w:firstRow="1" w:lastRow="0" w:firstColumn="1" w:lastColumn="0" w:noHBand="0" w:noVBand="1"/>
      </w:tblPr>
      <w:tblGrid>
        <w:gridCol w:w="3096"/>
        <w:gridCol w:w="3096"/>
        <w:gridCol w:w="3096"/>
      </w:tblGrid>
      <w:tr w:rsidR="00D911B8" w:rsidRPr="00DE6672" w:rsidTr="00D911B8">
        <w:tc>
          <w:tcPr>
            <w:tcW w:w="3096" w:type="dxa"/>
          </w:tcPr>
          <w:p w:rsidR="00D911B8" w:rsidRPr="00FE2F8C" w:rsidRDefault="00DE6672" w:rsidP="00DE6672">
            <w:pPr>
              <w:jc w:val="both"/>
              <w:rPr>
                <w:rFonts w:cs="Arial"/>
                <w:b/>
                <w:sz w:val="24"/>
                <w:szCs w:val="24"/>
              </w:rPr>
            </w:pPr>
            <w:r w:rsidRPr="00FE2F8C">
              <w:rPr>
                <w:rFonts w:cs="Arial"/>
                <w:b/>
                <w:sz w:val="24"/>
                <w:szCs w:val="24"/>
              </w:rPr>
              <w:t>Types d’actes ou de décision</w:t>
            </w:r>
          </w:p>
        </w:tc>
        <w:tc>
          <w:tcPr>
            <w:tcW w:w="3096" w:type="dxa"/>
          </w:tcPr>
          <w:p w:rsidR="00D911B8" w:rsidRPr="00FE2F8C" w:rsidRDefault="006F269D" w:rsidP="006F269D">
            <w:pPr>
              <w:jc w:val="center"/>
              <w:rPr>
                <w:rFonts w:cs="Arial"/>
                <w:b/>
                <w:sz w:val="24"/>
                <w:szCs w:val="24"/>
              </w:rPr>
            </w:pPr>
            <w:r w:rsidRPr="00FE2F8C">
              <w:rPr>
                <w:rFonts w:cs="Arial"/>
                <w:b/>
                <w:sz w:val="24"/>
                <w:szCs w:val="24"/>
              </w:rPr>
              <w:t>A partir du 1</w:t>
            </w:r>
            <w:r w:rsidRPr="00FE2F8C">
              <w:rPr>
                <w:rFonts w:cs="Arial"/>
                <w:b/>
                <w:sz w:val="24"/>
                <w:szCs w:val="24"/>
                <w:vertAlign w:val="superscript"/>
              </w:rPr>
              <w:t>er</w:t>
            </w:r>
            <w:r w:rsidRPr="00FE2F8C">
              <w:rPr>
                <w:rFonts w:cs="Arial"/>
                <w:b/>
                <w:sz w:val="24"/>
                <w:szCs w:val="24"/>
              </w:rPr>
              <w:t xml:space="preserve"> juin 2016</w:t>
            </w:r>
          </w:p>
        </w:tc>
        <w:tc>
          <w:tcPr>
            <w:tcW w:w="3096" w:type="dxa"/>
          </w:tcPr>
          <w:p w:rsidR="00D911B8" w:rsidRPr="00FE2F8C" w:rsidRDefault="006F269D" w:rsidP="006F269D">
            <w:pPr>
              <w:jc w:val="center"/>
              <w:rPr>
                <w:rFonts w:cs="Arial"/>
                <w:b/>
                <w:sz w:val="24"/>
                <w:szCs w:val="24"/>
              </w:rPr>
            </w:pPr>
            <w:r w:rsidRPr="00FE2F8C">
              <w:rPr>
                <w:rFonts w:cs="Arial"/>
                <w:b/>
                <w:sz w:val="24"/>
                <w:szCs w:val="24"/>
              </w:rPr>
              <w:t>Avant le 1</w:t>
            </w:r>
            <w:r w:rsidRPr="00FE2F8C">
              <w:rPr>
                <w:rFonts w:cs="Arial"/>
                <w:b/>
                <w:sz w:val="24"/>
                <w:szCs w:val="24"/>
                <w:vertAlign w:val="superscript"/>
              </w:rPr>
              <w:t>er</w:t>
            </w:r>
            <w:r w:rsidRPr="00FE2F8C">
              <w:rPr>
                <w:rFonts w:cs="Arial"/>
                <w:b/>
                <w:sz w:val="24"/>
                <w:szCs w:val="24"/>
              </w:rPr>
              <w:t xml:space="preserve"> juin 2016</w:t>
            </w:r>
          </w:p>
        </w:tc>
      </w:tr>
      <w:tr w:rsidR="00D911B8" w:rsidRPr="00DE6672" w:rsidTr="00D911B8">
        <w:tc>
          <w:tcPr>
            <w:tcW w:w="3096" w:type="dxa"/>
          </w:tcPr>
          <w:p w:rsidR="00D911B8" w:rsidRPr="00FE2F8C" w:rsidRDefault="00D911B8" w:rsidP="006F269D">
            <w:pPr>
              <w:jc w:val="both"/>
              <w:rPr>
                <w:rFonts w:cs="Arial"/>
                <w:b/>
                <w:sz w:val="24"/>
                <w:szCs w:val="24"/>
              </w:rPr>
            </w:pPr>
            <w:r w:rsidRPr="00FE2F8C">
              <w:rPr>
                <w:rFonts w:cs="Arial"/>
                <w:b/>
                <w:sz w:val="24"/>
                <w:szCs w:val="24"/>
              </w:rPr>
              <w:lastRenderedPageBreak/>
              <w:t>Décisions créatrices de droit</w:t>
            </w:r>
          </w:p>
          <w:p w:rsidR="00692441" w:rsidRPr="00DE6672" w:rsidRDefault="00692441" w:rsidP="006F269D">
            <w:pPr>
              <w:jc w:val="both"/>
              <w:rPr>
                <w:rFonts w:cs="Arial"/>
                <w:sz w:val="24"/>
                <w:szCs w:val="24"/>
              </w:rPr>
            </w:pPr>
          </w:p>
          <w:p w:rsidR="00692441" w:rsidRPr="00DE6672" w:rsidRDefault="00692441" w:rsidP="00692441">
            <w:pPr>
              <w:jc w:val="both"/>
              <w:rPr>
                <w:rFonts w:cs="Arial"/>
                <w:sz w:val="24"/>
                <w:szCs w:val="24"/>
              </w:rPr>
            </w:pPr>
            <w:r w:rsidRPr="00DE6672">
              <w:rPr>
                <w:rFonts w:cs="Arial"/>
                <w:sz w:val="24"/>
                <w:szCs w:val="24"/>
              </w:rPr>
              <w:t>(par exemple une décision de nomination d’un fonctionnaire sur un emploi, de promotion de grade, de recrutement d’un contractuel, de mise en congé de longue maladie, de reconnaissance d’imputabilité au service d’un accident</w:t>
            </w:r>
            <w:r w:rsidR="00DE6672" w:rsidRPr="00DE6672">
              <w:rPr>
                <w:rFonts w:cs="Arial"/>
                <w:sz w:val="24"/>
                <w:szCs w:val="24"/>
              </w:rPr>
              <w:t>, décision accordant un avantage financier</w:t>
            </w:r>
            <w:r w:rsidRPr="00DE6672">
              <w:rPr>
                <w:rFonts w:cs="Arial"/>
                <w:sz w:val="24"/>
                <w:szCs w:val="24"/>
              </w:rPr>
              <w:t xml:space="preserve"> …)</w:t>
            </w:r>
          </w:p>
        </w:tc>
        <w:tc>
          <w:tcPr>
            <w:tcW w:w="3096" w:type="dxa"/>
          </w:tcPr>
          <w:p w:rsidR="00D911B8" w:rsidRPr="00DE6672" w:rsidRDefault="006F269D" w:rsidP="006F269D">
            <w:pPr>
              <w:jc w:val="both"/>
              <w:rPr>
                <w:rFonts w:cs="Arial"/>
                <w:sz w:val="24"/>
                <w:szCs w:val="24"/>
              </w:rPr>
            </w:pPr>
            <w:r w:rsidRPr="00DE6672">
              <w:rPr>
                <w:rFonts w:cs="Arial"/>
                <w:sz w:val="24"/>
                <w:szCs w:val="24"/>
              </w:rPr>
              <w:t xml:space="preserve">Le retrait et l’abrogation </w:t>
            </w:r>
            <w:r w:rsidRPr="00DE6672">
              <w:rPr>
                <w:rFonts w:cs="Arial"/>
                <w:sz w:val="24"/>
                <w:szCs w:val="24"/>
                <w:u w:val="single"/>
              </w:rPr>
              <w:t>des décisions administratives créatrices de droits</w:t>
            </w:r>
            <w:r w:rsidRPr="00DE6672">
              <w:rPr>
                <w:rFonts w:cs="Arial"/>
                <w:sz w:val="24"/>
                <w:szCs w:val="24"/>
              </w:rPr>
              <w:t>, expresses ou implicites, ne peuvent intervenir qu’en raison de leur illégalité et ceci, dans un délai maximal de quatre mois à compter de leur édiction. (L. 242-1 du CRPA).</w:t>
            </w:r>
          </w:p>
          <w:p w:rsidR="006F269D" w:rsidRPr="00DE6672" w:rsidRDefault="006F269D" w:rsidP="006F269D">
            <w:pPr>
              <w:jc w:val="both"/>
              <w:rPr>
                <w:sz w:val="24"/>
                <w:szCs w:val="24"/>
              </w:rPr>
            </w:pPr>
            <w:r w:rsidRPr="00DE6672">
              <w:rPr>
                <w:sz w:val="24"/>
                <w:szCs w:val="24"/>
              </w:rPr>
              <w:t xml:space="preserve">(Article </w:t>
            </w:r>
            <w:hyperlink r:id="rId17" w:history="1">
              <w:r w:rsidRPr="00DE6672">
                <w:rPr>
                  <w:rStyle w:val="Lienhypertexte"/>
                  <w:sz w:val="24"/>
                  <w:szCs w:val="24"/>
                </w:rPr>
                <w:t>L.242-1</w:t>
              </w:r>
            </w:hyperlink>
            <w:r w:rsidRPr="00DE6672">
              <w:rPr>
                <w:sz w:val="24"/>
                <w:szCs w:val="24"/>
              </w:rPr>
              <w:t xml:space="preserve"> du code des relations entre le public et l’administration)</w:t>
            </w:r>
          </w:p>
          <w:p w:rsidR="006F269D" w:rsidRPr="00DE6672" w:rsidRDefault="006F269D" w:rsidP="006F269D">
            <w:pPr>
              <w:jc w:val="both"/>
              <w:rPr>
                <w:rFonts w:cs="Arial"/>
                <w:sz w:val="24"/>
                <w:szCs w:val="24"/>
              </w:rPr>
            </w:pPr>
          </w:p>
        </w:tc>
        <w:tc>
          <w:tcPr>
            <w:tcW w:w="3096" w:type="dxa"/>
          </w:tcPr>
          <w:p w:rsidR="00D911B8" w:rsidRPr="00DE6672" w:rsidRDefault="006F269D" w:rsidP="006F269D">
            <w:pPr>
              <w:jc w:val="both"/>
              <w:rPr>
                <w:rFonts w:cs="Arial"/>
                <w:sz w:val="24"/>
                <w:szCs w:val="24"/>
              </w:rPr>
            </w:pPr>
            <w:r w:rsidRPr="00DE6672">
              <w:rPr>
                <w:rFonts w:cs="Arial"/>
                <w:sz w:val="24"/>
                <w:szCs w:val="24"/>
              </w:rPr>
              <w:t xml:space="preserve">Il s’agit de la consécration des jurisprudences du Conseil d’État du </w:t>
            </w:r>
            <w:r w:rsidRPr="00DE6672">
              <w:rPr>
                <w:rFonts w:cs="Arial"/>
                <w:sz w:val="24"/>
                <w:szCs w:val="24"/>
              </w:rPr>
              <w:t>26 octob</w:t>
            </w:r>
            <w:r w:rsidRPr="00DE6672">
              <w:rPr>
                <w:rFonts w:cs="Arial"/>
                <w:sz w:val="24"/>
                <w:szCs w:val="24"/>
              </w:rPr>
              <w:t>r</w:t>
            </w:r>
            <w:r w:rsidRPr="00DE6672">
              <w:rPr>
                <w:rFonts w:cs="Arial"/>
                <w:sz w:val="24"/>
                <w:szCs w:val="24"/>
              </w:rPr>
              <w:t xml:space="preserve">e 2001, n° </w:t>
            </w:r>
            <w:hyperlink r:id="rId18" w:history="1">
              <w:r w:rsidRPr="00DE6672">
                <w:rPr>
                  <w:rStyle w:val="Lienhypertexte"/>
                  <w:rFonts w:cs="Arial"/>
                  <w:sz w:val="24"/>
                  <w:szCs w:val="24"/>
                </w:rPr>
                <w:t>197018</w:t>
              </w:r>
            </w:hyperlink>
            <w:r w:rsidRPr="00DE6672">
              <w:rPr>
                <w:rFonts w:cs="Arial"/>
                <w:sz w:val="24"/>
                <w:szCs w:val="24"/>
              </w:rPr>
              <w:t xml:space="preserve">, </w:t>
            </w:r>
            <w:proofErr w:type="spellStart"/>
            <w:r w:rsidRPr="00DE6672">
              <w:rPr>
                <w:rFonts w:cs="Arial"/>
                <w:sz w:val="24"/>
                <w:szCs w:val="24"/>
              </w:rPr>
              <w:t>Ternon</w:t>
            </w:r>
            <w:proofErr w:type="spellEnd"/>
            <w:r w:rsidRPr="00DE6672">
              <w:rPr>
                <w:rFonts w:cs="Arial"/>
                <w:sz w:val="24"/>
                <w:szCs w:val="24"/>
              </w:rPr>
              <w:t>, en ce qui concerne le retrait, et du</w:t>
            </w:r>
            <w:r w:rsidRPr="00DE6672">
              <w:rPr>
                <w:rFonts w:cs="Arial"/>
                <w:color w:val="1071B6"/>
                <w:sz w:val="24"/>
                <w:szCs w:val="24"/>
              </w:rPr>
              <w:t xml:space="preserve"> </w:t>
            </w:r>
            <w:r w:rsidRPr="00DE6672">
              <w:rPr>
                <w:rFonts w:cs="Arial"/>
                <w:sz w:val="24"/>
                <w:szCs w:val="24"/>
              </w:rPr>
              <w:t xml:space="preserve">6 mars 2009, n° </w:t>
            </w:r>
            <w:hyperlink r:id="rId19" w:history="1">
              <w:r w:rsidRPr="00DE6672">
                <w:rPr>
                  <w:rStyle w:val="Lienhypertexte"/>
                  <w:rFonts w:cs="Arial"/>
                  <w:sz w:val="24"/>
                  <w:szCs w:val="24"/>
                </w:rPr>
                <w:t>306084</w:t>
              </w:r>
            </w:hyperlink>
            <w:r w:rsidRPr="00DE6672">
              <w:rPr>
                <w:rFonts w:cs="Arial"/>
                <w:sz w:val="24"/>
                <w:szCs w:val="24"/>
              </w:rPr>
              <w:t>, Coulibaly</w:t>
            </w:r>
            <w:r w:rsidRPr="00DE6672">
              <w:rPr>
                <w:rFonts w:cs="Arial"/>
                <w:color w:val="1071B6"/>
                <w:sz w:val="24"/>
                <w:szCs w:val="24"/>
              </w:rPr>
              <w:t>,</w:t>
            </w:r>
            <w:r w:rsidRPr="00DE6672">
              <w:rPr>
                <w:rFonts w:cs="Arial"/>
                <w:sz w:val="24"/>
                <w:szCs w:val="24"/>
              </w:rPr>
              <w:t xml:space="preserve"> en ce qui concerne l’abrogation</w:t>
            </w:r>
            <w:r w:rsidRPr="00DE6672">
              <w:rPr>
                <w:rFonts w:cs="Arial"/>
                <w:sz w:val="24"/>
                <w:szCs w:val="24"/>
              </w:rPr>
              <w:t>.</w:t>
            </w:r>
          </w:p>
        </w:tc>
        <w:bookmarkStart w:id="0" w:name="_GoBack"/>
        <w:bookmarkEnd w:id="0"/>
      </w:tr>
      <w:tr w:rsidR="00D911B8" w:rsidRPr="00DE6672" w:rsidTr="00D911B8">
        <w:tc>
          <w:tcPr>
            <w:tcW w:w="3096" w:type="dxa"/>
          </w:tcPr>
          <w:p w:rsidR="00D911B8" w:rsidRPr="00FE2F8C" w:rsidRDefault="006F269D" w:rsidP="006F269D">
            <w:pPr>
              <w:jc w:val="both"/>
              <w:rPr>
                <w:rFonts w:cs="Arial"/>
                <w:b/>
                <w:sz w:val="24"/>
                <w:szCs w:val="24"/>
              </w:rPr>
            </w:pPr>
            <w:r w:rsidRPr="00FE2F8C">
              <w:rPr>
                <w:rFonts w:cs="Arial"/>
                <w:b/>
                <w:sz w:val="24"/>
                <w:szCs w:val="24"/>
              </w:rPr>
              <w:t>Actes réglementaires et non réglementaires non créateurs de droits</w:t>
            </w:r>
          </w:p>
          <w:p w:rsidR="00692441" w:rsidRPr="00DE6672" w:rsidRDefault="00692441" w:rsidP="006F269D">
            <w:pPr>
              <w:jc w:val="both"/>
              <w:rPr>
                <w:rFonts w:cs="Arial"/>
                <w:sz w:val="24"/>
                <w:szCs w:val="24"/>
              </w:rPr>
            </w:pPr>
          </w:p>
          <w:p w:rsidR="00692441" w:rsidRPr="00DE6672" w:rsidRDefault="00692441" w:rsidP="006F269D">
            <w:pPr>
              <w:jc w:val="both"/>
              <w:rPr>
                <w:rFonts w:cs="Arial"/>
                <w:sz w:val="24"/>
                <w:szCs w:val="24"/>
              </w:rPr>
            </w:pPr>
            <w:r w:rsidRPr="00DE6672">
              <w:rPr>
                <w:rFonts w:cs="Arial"/>
                <w:sz w:val="24"/>
                <w:szCs w:val="24"/>
              </w:rPr>
              <w:t xml:space="preserve">(par exemple une nomination sur un emploi supérieur à la discrétion du gouvernement, </w:t>
            </w:r>
            <w:r w:rsidR="00DE6672" w:rsidRPr="00DE6672">
              <w:rPr>
                <w:rFonts w:cs="Arial"/>
                <w:sz w:val="24"/>
                <w:szCs w:val="24"/>
              </w:rPr>
              <w:t xml:space="preserve">une </w:t>
            </w:r>
            <w:r w:rsidRPr="00DE6672">
              <w:rPr>
                <w:rFonts w:cs="Arial"/>
                <w:sz w:val="24"/>
                <w:szCs w:val="24"/>
              </w:rPr>
              <w:t>sanction disciplinaire …)</w:t>
            </w:r>
          </w:p>
        </w:tc>
        <w:tc>
          <w:tcPr>
            <w:tcW w:w="3096" w:type="dxa"/>
          </w:tcPr>
          <w:p w:rsidR="006F269D" w:rsidRPr="00DE6672" w:rsidRDefault="006F269D" w:rsidP="006F269D">
            <w:pPr>
              <w:jc w:val="both"/>
              <w:rPr>
                <w:sz w:val="24"/>
                <w:szCs w:val="24"/>
              </w:rPr>
            </w:pPr>
            <w:r w:rsidRPr="00DE6672">
              <w:rPr>
                <w:rFonts w:cs="Arial"/>
                <w:sz w:val="24"/>
                <w:szCs w:val="24"/>
              </w:rPr>
              <w:t xml:space="preserve">Le retrait des </w:t>
            </w:r>
            <w:r w:rsidRPr="00DE6672">
              <w:rPr>
                <w:rFonts w:cs="Arial"/>
                <w:sz w:val="24"/>
                <w:szCs w:val="24"/>
                <w:u w:val="single"/>
              </w:rPr>
              <w:t>actes réglementaires et des actes non réglementaires non créateurs de droits</w:t>
            </w:r>
            <w:r w:rsidRPr="00DE6672">
              <w:rPr>
                <w:rFonts w:cs="Arial"/>
                <w:sz w:val="24"/>
                <w:szCs w:val="24"/>
              </w:rPr>
              <w:t xml:space="preserve"> ne peut intervenir qu’en raison de leur illégalité et ceci, dans un délai maximal de quatre mois à compter de leur édiction (</w:t>
            </w:r>
            <w:r w:rsidRPr="00DE6672">
              <w:rPr>
                <w:sz w:val="24"/>
                <w:szCs w:val="24"/>
              </w:rPr>
              <w:t xml:space="preserve">(Article </w:t>
            </w:r>
            <w:hyperlink r:id="rId20" w:history="1">
              <w:r w:rsidRPr="00DE6672">
                <w:rPr>
                  <w:rStyle w:val="Lienhypertexte"/>
                  <w:sz w:val="24"/>
                  <w:szCs w:val="24"/>
                </w:rPr>
                <w:t>L.2</w:t>
              </w:r>
              <w:r w:rsidRPr="00DE6672">
                <w:rPr>
                  <w:rStyle w:val="Lienhypertexte"/>
                  <w:sz w:val="24"/>
                  <w:szCs w:val="24"/>
                </w:rPr>
                <w:t>4</w:t>
              </w:r>
              <w:r w:rsidRPr="00DE6672">
                <w:rPr>
                  <w:rStyle w:val="Lienhypertexte"/>
                  <w:sz w:val="24"/>
                  <w:szCs w:val="24"/>
                </w:rPr>
                <w:t>3</w:t>
              </w:r>
              <w:r w:rsidRPr="00DE6672">
                <w:rPr>
                  <w:rStyle w:val="Lienhypertexte"/>
                  <w:sz w:val="24"/>
                  <w:szCs w:val="24"/>
                </w:rPr>
                <w:t>-3</w:t>
              </w:r>
            </w:hyperlink>
            <w:r w:rsidRPr="00DE6672">
              <w:rPr>
                <w:sz w:val="24"/>
                <w:szCs w:val="24"/>
              </w:rPr>
              <w:t xml:space="preserve"> du code des relations entre le public et l’administration)</w:t>
            </w:r>
          </w:p>
          <w:p w:rsidR="006F269D" w:rsidRPr="00DE6672" w:rsidRDefault="006F269D" w:rsidP="006F269D">
            <w:pPr>
              <w:jc w:val="both"/>
              <w:rPr>
                <w:rFonts w:cs="Arial"/>
                <w:sz w:val="24"/>
                <w:szCs w:val="24"/>
              </w:rPr>
            </w:pPr>
          </w:p>
          <w:p w:rsidR="006F269D" w:rsidRPr="00DE6672" w:rsidRDefault="006F269D" w:rsidP="006F269D">
            <w:pPr>
              <w:jc w:val="both"/>
              <w:rPr>
                <w:rFonts w:cs="Arial"/>
                <w:sz w:val="24"/>
                <w:szCs w:val="24"/>
              </w:rPr>
            </w:pPr>
            <w:r w:rsidRPr="00DE6672">
              <w:rPr>
                <w:rFonts w:cs="Arial"/>
                <w:sz w:val="24"/>
                <w:szCs w:val="24"/>
              </w:rPr>
              <w:t xml:space="preserve">Cependant, une mesure à caractère de sanction infligée par l’administration peut toujours être retirée </w:t>
            </w:r>
          </w:p>
          <w:p w:rsidR="00D911B8" w:rsidRPr="00DE6672" w:rsidRDefault="006F269D" w:rsidP="00136B5A">
            <w:pPr>
              <w:jc w:val="both"/>
              <w:rPr>
                <w:rFonts w:cs="Arial"/>
                <w:sz w:val="24"/>
                <w:szCs w:val="24"/>
              </w:rPr>
            </w:pPr>
            <w:r w:rsidRPr="00DE6672">
              <w:rPr>
                <w:sz w:val="24"/>
                <w:szCs w:val="24"/>
              </w:rPr>
              <w:t xml:space="preserve">(Article </w:t>
            </w:r>
            <w:hyperlink r:id="rId21" w:history="1">
              <w:r w:rsidRPr="00DE6672">
                <w:rPr>
                  <w:rStyle w:val="Lienhypertexte"/>
                  <w:sz w:val="24"/>
                  <w:szCs w:val="24"/>
                </w:rPr>
                <w:t>L.243-4</w:t>
              </w:r>
            </w:hyperlink>
            <w:r w:rsidRPr="00DE6672">
              <w:rPr>
                <w:sz w:val="24"/>
                <w:szCs w:val="24"/>
              </w:rPr>
              <w:t xml:space="preserve"> du code des relations entre le public et l’administration)</w:t>
            </w:r>
            <w:r w:rsidRPr="00DE6672">
              <w:rPr>
                <w:rFonts w:cs="Arial"/>
                <w:sz w:val="24"/>
                <w:szCs w:val="24"/>
              </w:rPr>
              <w:t xml:space="preserve"> </w:t>
            </w:r>
          </w:p>
        </w:tc>
        <w:tc>
          <w:tcPr>
            <w:tcW w:w="3096" w:type="dxa"/>
          </w:tcPr>
          <w:p w:rsidR="00D911B8" w:rsidRPr="00DE6672" w:rsidRDefault="00D911B8" w:rsidP="006F269D">
            <w:pPr>
              <w:jc w:val="both"/>
              <w:rPr>
                <w:rFonts w:cs="Arial"/>
                <w:sz w:val="24"/>
                <w:szCs w:val="24"/>
              </w:rPr>
            </w:pPr>
          </w:p>
        </w:tc>
      </w:tr>
      <w:tr w:rsidR="00D911B8" w:rsidRPr="00DE6672" w:rsidTr="00D911B8">
        <w:tc>
          <w:tcPr>
            <w:tcW w:w="3096" w:type="dxa"/>
          </w:tcPr>
          <w:p w:rsidR="00136B5A" w:rsidRPr="00FE2F8C" w:rsidRDefault="00136B5A" w:rsidP="00136B5A">
            <w:pPr>
              <w:spacing w:before="100" w:beforeAutospacing="1" w:after="100" w:afterAutospacing="1"/>
              <w:jc w:val="both"/>
              <w:rPr>
                <w:rFonts w:cs="Arial"/>
                <w:b/>
                <w:sz w:val="24"/>
                <w:szCs w:val="24"/>
              </w:rPr>
            </w:pPr>
            <w:r w:rsidRPr="00FE2F8C">
              <w:rPr>
                <w:rFonts w:cs="Arial"/>
                <w:b/>
                <w:sz w:val="24"/>
                <w:szCs w:val="24"/>
              </w:rPr>
              <w:t>A</w:t>
            </w:r>
            <w:r w:rsidRPr="00136B5A">
              <w:rPr>
                <w:rFonts w:cs="Arial"/>
                <w:b/>
                <w:sz w:val="24"/>
                <w:szCs w:val="24"/>
              </w:rPr>
              <w:t>ctes réglementaires et actes non réglementaires non créateurs de droits</w:t>
            </w:r>
            <w:r w:rsidR="00DE6672" w:rsidRPr="00FE2F8C">
              <w:rPr>
                <w:rFonts w:cs="Arial"/>
                <w:b/>
                <w:sz w:val="24"/>
                <w:szCs w:val="24"/>
              </w:rPr>
              <w:t xml:space="preserve"> </w:t>
            </w:r>
          </w:p>
          <w:p w:rsidR="00D911B8" w:rsidRPr="00DE6672" w:rsidRDefault="00DE6672" w:rsidP="00DE6672">
            <w:pPr>
              <w:jc w:val="both"/>
              <w:rPr>
                <w:rFonts w:cs="Arial"/>
                <w:sz w:val="24"/>
                <w:szCs w:val="24"/>
              </w:rPr>
            </w:pPr>
            <w:r w:rsidRPr="00DE6672">
              <w:rPr>
                <w:rFonts w:cs="Arial"/>
                <w:sz w:val="24"/>
                <w:szCs w:val="24"/>
              </w:rPr>
              <w:t>(Par exemple la liste d’aptitude à la fonction publique, la liste complémentaire suite à un concours de fonctionnaires, un règlement de service …)</w:t>
            </w:r>
          </w:p>
        </w:tc>
        <w:tc>
          <w:tcPr>
            <w:tcW w:w="3096" w:type="dxa"/>
          </w:tcPr>
          <w:p w:rsidR="00136B5A" w:rsidRPr="00136B5A" w:rsidRDefault="00136B5A" w:rsidP="00136B5A">
            <w:pPr>
              <w:spacing w:before="100" w:beforeAutospacing="1" w:after="100" w:afterAutospacing="1"/>
              <w:jc w:val="both"/>
              <w:rPr>
                <w:rFonts w:eastAsia="Times New Roman" w:cs="Arial"/>
                <w:sz w:val="24"/>
                <w:szCs w:val="24"/>
                <w:lang w:eastAsia="fr-FR"/>
              </w:rPr>
            </w:pPr>
            <w:r w:rsidRPr="00136B5A">
              <w:rPr>
                <w:rFonts w:eastAsia="Times New Roman" w:cs="Arial"/>
                <w:sz w:val="24"/>
                <w:szCs w:val="24"/>
                <w:lang w:eastAsia="fr-FR"/>
              </w:rPr>
              <w:t xml:space="preserve">L’abrogation des </w:t>
            </w:r>
            <w:r w:rsidRPr="00136B5A">
              <w:rPr>
                <w:rFonts w:eastAsia="Times New Roman" w:cs="Arial"/>
                <w:sz w:val="24"/>
                <w:szCs w:val="24"/>
                <w:u w:val="single"/>
                <w:lang w:eastAsia="fr-FR"/>
              </w:rPr>
              <w:t>actes réglementaires et des actes non réglementaires non créateurs de droits</w:t>
            </w:r>
            <w:proofErr w:type="gramStart"/>
            <w:r w:rsidRPr="00136B5A">
              <w:rPr>
                <w:rFonts w:eastAsia="Times New Roman" w:cs="Arial"/>
                <w:sz w:val="24"/>
                <w:szCs w:val="24"/>
                <w:lang w:eastAsia="fr-FR"/>
              </w:rPr>
              <w:t>  :</w:t>
            </w:r>
            <w:proofErr w:type="gramEnd"/>
          </w:p>
          <w:p w:rsidR="00136B5A" w:rsidRPr="00136B5A" w:rsidRDefault="00136B5A" w:rsidP="00136B5A">
            <w:pPr>
              <w:spacing w:before="100" w:beforeAutospacing="1" w:after="100" w:afterAutospacing="1"/>
              <w:jc w:val="both"/>
              <w:rPr>
                <w:rFonts w:eastAsia="Times New Roman" w:cs="Arial"/>
                <w:sz w:val="24"/>
                <w:szCs w:val="24"/>
                <w:lang w:eastAsia="fr-FR"/>
              </w:rPr>
            </w:pPr>
            <w:r w:rsidRPr="00136B5A">
              <w:rPr>
                <w:rFonts w:eastAsia="Times New Roman" w:cs="Arial"/>
                <w:sz w:val="24"/>
                <w:szCs w:val="24"/>
                <w:lang w:eastAsia="fr-FR"/>
              </w:rPr>
              <w:t xml:space="preserve">- est </w:t>
            </w:r>
            <w:r w:rsidRPr="00136B5A">
              <w:rPr>
                <w:rFonts w:eastAsia="Times New Roman" w:cs="Arial"/>
                <w:sz w:val="24"/>
                <w:szCs w:val="24"/>
                <w:u w:val="single"/>
                <w:lang w:eastAsia="fr-FR"/>
              </w:rPr>
              <w:t>possible à tout moment</w:t>
            </w:r>
            <w:r w:rsidRPr="00136B5A">
              <w:rPr>
                <w:rFonts w:eastAsia="Times New Roman" w:cs="Arial"/>
                <w:sz w:val="24"/>
                <w:szCs w:val="24"/>
                <w:lang w:eastAsia="fr-FR"/>
              </w:rPr>
              <w:t>, en vertu du principe de mutabilité (</w:t>
            </w:r>
            <w:r w:rsidRPr="00DE6672">
              <w:rPr>
                <w:rFonts w:eastAsia="Times New Roman" w:cs="Arial"/>
                <w:sz w:val="24"/>
                <w:szCs w:val="24"/>
                <w:lang w:eastAsia="fr-FR"/>
              </w:rPr>
              <w:t xml:space="preserve">Article </w:t>
            </w:r>
            <w:hyperlink r:id="rId22" w:history="1">
              <w:r w:rsidRPr="00DE6672">
                <w:rPr>
                  <w:rStyle w:val="Lienhypertexte"/>
                  <w:rFonts w:eastAsia="Times New Roman" w:cs="Arial"/>
                  <w:sz w:val="24"/>
                  <w:szCs w:val="24"/>
                  <w:lang w:eastAsia="fr-FR"/>
                </w:rPr>
                <w:t>L.243-1</w:t>
              </w:r>
            </w:hyperlink>
            <w:r w:rsidRPr="00136B5A">
              <w:rPr>
                <w:rFonts w:eastAsia="Times New Roman" w:cs="Arial"/>
                <w:sz w:val="24"/>
                <w:szCs w:val="24"/>
                <w:lang w:eastAsia="fr-FR"/>
              </w:rPr>
              <w:t xml:space="preserve"> </w:t>
            </w:r>
            <w:r w:rsidRPr="00DE6672">
              <w:rPr>
                <w:sz w:val="24"/>
                <w:szCs w:val="24"/>
              </w:rPr>
              <w:t>du code des relations entre le public et l’administration)</w:t>
            </w:r>
            <w:r w:rsidRPr="00136B5A">
              <w:rPr>
                <w:rFonts w:eastAsia="Times New Roman" w:cs="Arial"/>
                <w:sz w:val="24"/>
                <w:szCs w:val="24"/>
                <w:lang w:eastAsia="fr-FR"/>
              </w:rPr>
              <w:t>, sous réserve le cas échéant de l’édiction de mesures transitoires (</w:t>
            </w:r>
            <w:r w:rsidRPr="00DE6672">
              <w:rPr>
                <w:rFonts w:eastAsia="Times New Roman" w:cs="Arial"/>
                <w:sz w:val="24"/>
                <w:szCs w:val="24"/>
                <w:lang w:eastAsia="fr-FR"/>
              </w:rPr>
              <w:t xml:space="preserve">Article </w:t>
            </w:r>
            <w:hyperlink r:id="rId23" w:history="1">
              <w:r w:rsidRPr="00DE6672">
                <w:rPr>
                  <w:rStyle w:val="Lienhypertexte"/>
                  <w:rFonts w:eastAsia="Times New Roman" w:cs="Arial"/>
                  <w:sz w:val="24"/>
                  <w:szCs w:val="24"/>
                  <w:lang w:eastAsia="fr-FR"/>
                </w:rPr>
                <w:t>L.221-5</w:t>
              </w:r>
            </w:hyperlink>
            <w:r w:rsidRPr="00136B5A">
              <w:rPr>
                <w:rFonts w:eastAsia="Times New Roman" w:cs="Arial"/>
                <w:sz w:val="24"/>
                <w:szCs w:val="24"/>
                <w:lang w:eastAsia="fr-FR"/>
              </w:rPr>
              <w:t xml:space="preserve"> </w:t>
            </w:r>
            <w:r w:rsidRPr="00DE6672">
              <w:rPr>
                <w:sz w:val="24"/>
                <w:szCs w:val="24"/>
              </w:rPr>
              <w:t xml:space="preserve">du code des relations entre </w:t>
            </w:r>
            <w:r w:rsidRPr="00DE6672">
              <w:rPr>
                <w:sz w:val="24"/>
                <w:szCs w:val="24"/>
              </w:rPr>
              <w:lastRenderedPageBreak/>
              <w:t>le public et l’administration</w:t>
            </w:r>
            <w:r w:rsidRPr="00DE6672">
              <w:rPr>
                <w:sz w:val="24"/>
                <w:szCs w:val="24"/>
              </w:rPr>
              <w:t xml:space="preserve"> </w:t>
            </w:r>
            <w:r w:rsidRPr="00136B5A">
              <w:rPr>
                <w:rFonts w:eastAsia="Times New Roman" w:cs="Arial"/>
                <w:sz w:val="24"/>
                <w:szCs w:val="24"/>
                <w:lang w:eastAsia="fr-FR"/>
              </w:rPr>
              <w:t>: en vertu du principe de sécurité juridique</w:t>
            </w:r>
            <w:r w:rsidR="00A851A0" w:rsidRPr="00DE6672">
              <w:rPr>
                <w:rFonts w:eastAsia="Times New Roman" w:cs="Arial"/>
                <w:sz w:val="24"/>
                <w:szCs w:val="24"/>
                <w:lang w:eastAsia="fr-FR"/>
              </w:rPr>
              <w:t xml:space="preserve"> </w:t>
            </w:r>
            <w:r w:rsidRPr="00136B5A">
              <w:rPr>
                <w:rFonts w:eastAsia="Times New Roman" w:cs="Arial"/>
                <w:sz w:val="24"/>
                <w:szCs w:val="24"/>
                <w:lang w:eastAsia="fr-FR"/>
              </w:rPr>
              <w:t>tel que défini par le Conseil d’État</w:t>
            </w:r>
            <w:r w:rsidR="00A851A0" w:rsidRPr="00DE6672">
              <w:rPr>
                <w:rFonts w:eastAsia="Times New Roman" w:cs="Arial"/>
                <w:sz w:val="24"/>
                <w:szCs w:val="24"/>
                <w:lang w:eastAsia="fr-FR"/>
              </w:rPr>
              <w:t>. (1)</w:t>
            </w:r>
            <w:r w:rsidRPr="00136B5A">
              <w:rPr>
                <w:rFonts w:eastAsia="Times New Roman" w:cs="Arial"/>
                <w:sz w:val="24"/>
                <w:szCs w:val="24"/>
                <w:lang w:eastAsia="fr-FR"/>
              </w:rPr>
              <w:t xml:space="preserve"> </w:t>
            </w:r>
            <w:r w:rsidRPr="00136B5A">
              <w:rPr>
                <w:rFonts w:eastAsia="Times New Roman" w:cs="Arial"/>
                <w:sz w:val="24"/>
                <w:szCs w:val="24"/>
                <w:lang w:eastAsia="fr-FR"/>
              </w:rPr>
              <w:br/>
            </w:r>
            <w:r w:rsidRPr="00136B5A">
              <w:rPr>
                <w:rFonts w:eastAsia="Times New Roman" w:cs="Arial"/>
                <w:sz w:val="24"/>
                <w:szCs w:val="24"/>
                <w:lang w:eastAsia="fr-FR"/>
              </w:rPr>
              <w:br/>
              <w:t xml:space="preserve">- </w:t>
            </w:r>
            <w:r w:rsidRPr="00136B5A">
              <w:rPr>
                <w:rFonts w:eastAsia="Times New Roman" w:cs="Arial"/>
                <w:sz w:val="24"/>
                <w:szCs w:val="24"/>
                <w:u w:val="single"/>
                <w:lang w:eastAsia="fr-FR"/>
              </w:rPr>
              <w:t>devient obligatoire</w:t>
            </w:r>
            <w:r w:rsidRPr="00136B5A">
              <w:rPr>
                <w:rFonts w:eastAsia="Times New Roman" w:cs="Arial"/>
                <w:sz w:val="24"/>
                <w:szCs w:val="24"/>
                <w:lang w:eastAsia="fr-FR"/>
              </w:rPr>
              <w:t xml:space="preserve"> lorsque cet acte est illégal ou dépourvu d’objet, que cette situation existe depuis son édiction ou qu’elle résulte de circonstances de droits ou de faits  intervenus postérieurement à son édiction, </w:t>
            </w:r>
            <w:r w:rsidR="00A851A0" w:rsidRPr="00136B5A">
              <w:rPr>
                <w:rFonts w:eastAsia="Times New Roman" w:cs="Arial"/>
                <w:sz w:val="24"/>
                <w:szCs w:val="24"/>
                <w:lang w:eastAsia="fr-FR"/>
              </w:rPr>
              <w:t>(</w:t>
            </w:r>
            <w:r w:rsidR="00A851A0" w:rsidRPr="00DE6672">
              <w:rPr>
                <w:rFonts w:eastAsia="Times New Roman" w:cs="Arial"/>
                <w:sz w:val="24"/>
                <w:szCs w:val="24"/>
                <w:lang w:eastAsia="fr-FR"/>
              </w:rPr>
              <w:t xml:space="preserve">Article </w:t>
            </w:r>
            <w:hyperlink r:id="rId24" w:history="1">
              <w:r w:rsidR="00A851A0" w:rsidRPr="00DE6672">
                <w:rPr>
                  <w:rStyle w:val="Lienhypertexte"/>
                  <w:rFonts w:eastAsia="Times New Roman" w:cs="Arial"/>
                  <w:sz w:val="24"/>
                  <w:szCs w:val="24"/>
                  <w:lang w:eastAsia="fr-FR"/>
                </w:rPr>
                <w:t>L.243-2</w:t>
              </w:r>
            </w:hyperlink>
            <w:r w:rsidR="00A851A0" w:rsidRPr="00136B5A">
              <w:rPr>
                <w:rFonts w:eastAsia="Times New Roman" w:cs="Arial"/>
                <w:sz w:val="24"/>
                <w:szCs w:val="24"/>
                <w:lang w:eastAsia="fr-FR"/>
              </w:rPr>
              <w:t xml:space="preserve"> </w:t>
            </w:r>
            <w:r w:rsidR="00A851A0" w:rsidRPr="00DE6672">
              <w:rPr>
                <w:sz w:val="24"/>
                <w:szCs w:val="24"/>
              </w:rPr>
              <w:t>du code des relations entre le public et l’administration)</w:t>
            </w:r>
            <w:r w:rsidR="00A851A0" w:rsidRPr="00136B5A">
              <w:rPr>
                <w:rFonts w:eastAsia="Times New Roman" w:cs="Arial"/>
                <w:sz w:val="24"/>
                <w:szCs w:val="24"/>
                <w:lang w:eastAsia="fr-FR"/>
              </w:rPr>
              <w:t xml:space="preserve">, </w:t>
            </w:r>
            <w:r w:rsidR="00A851A0" w:rsidRPr="00DE6672">
              <w:rPr>
                <w:rFonts w:eastAsia="Times New Roman" w:cs="Arial"/>
                <w:sz w:val="24"/>
                <w:szCs w:val="24"/>
                <w:lang w:eastAsia="fr-FR"/>
              </w:rPr>
              <w:t>(2)</w:t>
            </w:r>
          </w:p>
          <w:p w:rsidR="00D911B8" w:rsidRPr="00DE6672" w:rsidRDefault="00D911B8" w:rsidP="006F269D">
            <w:pPr>
              <w:jc w:val="both"/>
              <w:rPr>
                <w:rFonts w:cs="Arial"/>
                <w:sz w:val="24"/>
                <w:szCs w:val="24"/>
              </w:rPr>
            </w:pPr>
          </w:p>
        </w:tc>
        <w:tc>
          <w:tcPr>
            <w:tcW w:w="3096" w:type="dxa"/>
          </w:tcPr>
          <w:p w:rsidR="00A851A0" w:rsidRPr="00DE6672" w:rsidRDefault="00A851A0" w:rsidP="00A851A0">
            <w:pPr>
              <w:jc w:val="both"/>
              <w:rPr>
                <w:rFonts w:eastAsia="Times New Roman" w:cs="Arial"/>
                <w:sz w:val="18"/>
                <w:szCs w:val="18"/>
                <w:lang w:eastAsia="fr-FR"/>
              </w:rPr>
            </w:pPr>
          </w:p>
          <w:p w:rsidR="00A851A0" w:rsidRPr="00DE6672" w:rsidRDefault="00A851A0" w:rsidP="00A851A0">
            <w:pPr>
              <w:jc w:val="both"/>
              <w:rPr>
                <w:rFonts w:eastAsia="Times New Roman" w:cs="Arial"/>
                <w:sz w:val="24"/>
                <w:szCs w:val="24"/>
                <w:lang w:eastAsia="fr-FR"/>
              </w:rPr>
            </w:pPr>
            <w:r w:rsidRPr="00DE6672">
              <w:rPr>
                <w:rFonts w:eastAsia="Times New Roman" w:cs="Arial"/>
                <w:sz w:val="18"/>
                <w:szCs w:val="18"/>
                <w:lang w:eastAsia="fr-FR"/>
              </w:rPr>
              <w:t>(</w:t>
            </w:r>
            <w:r w:rsidRPr="00DE6672">
              <w:rPr>
                <w:rFonts w:eastAsia="Times New Roman" w:cs="Arial"/>
                <w:sz w:val="24"/>
                <w:szCs w:val="24"/>
                <w:lang w:eastAsia="fr-FR"/>
              </w:rPr>
              <w:t>1)</w:t>
            </w:r>
            <w:r w:rsidRPr="00136B5A">
              <w:rPr>
                <w:rFonts w:eastAsia="Times New Roman" w:cs="Arial"/>
                <w:sz w:val="24"/>
                <w:szCs w:val="24"/>
                <w:lang w:eastAsia="fr-FR"/>
              </w:rPr>
              <w:t xml:space="preserve"> </w:t>
            </w:r>
            <w:r w:rsidRPr="00DE6672">
              <w:rPr>
                <w:rFonts w:eastAsia="Times New Roman" w:cs="Arial"/>
                <w:sz w:val="24"/>
                <w:szCs w:val="24"/>
                <w:lang w:eastAsia="fr-FR"/>
              </w:rPr>
              <w:t xml:space="preserve">Le </w:t>
            </w:r>
            <w:r w:rsidRPr="00136B5A">
              <w:rPr>
                <w:rFonts w:eastAsia="Times New Roman" w:cs="Arial"/>
                <w:sz w:val="24"/>
                <w:szCs w:val="24"/>
                <w:lang w:eastAsia="fr-FR"/>
              </w:rPr>
              <w:t>principe de sécurité juridique</w:t>
            </w:r>
            <w:r w:rsidRPr="00DE6672">
              <w:rPr>
                <w:rFonts w:eastAsia="Times New Roman" w:cs="Arial"/>
                <w:sz w:val="24"/>
                <w:szCs w:val="24"/>
                <w:lang w:eastAsia="fr-FR"/>
              </w:rPr>
              <w:t xml:space="preserve"> </w:t>
            </w:r>
            <w:r w:rsidRPr="00136B5A">
              <w:rPr>
                <w:rFonts w:eastAsia="Times New Roman" w:cs="Arial"/>
                <w:sz w:val="24"/>
                <w:szCs w:val="24"/>
                <w:lang w:eastAsia="fr-FR"/>
              </w:rPr>
              <w:t>tel que défini par le Conseil d’État dans ses décisions d’assemblée,</w:t>
            </w:r>
            <w:r w:rsidRPr="00DE6672">
              <w:rPr>
                <w:rFonts w:eastAsia="Times New Roman" w:cs="Arial"/>
                <w:color w:val="1071B6"/>
                <w:sz w:val="24"/>
                <w:szCs w:val="24"/>
                <w:lang w:eastAsia="fr-FR"/>
              </w:rPr>
              <w:t xml:space="preserve"> </w:t>
            </w:r>
            <w:r w:rsidRPr="00DE6672">
              <w:rPr>
                <w:rFonts w:eastAsia="Times New Roman" w:cs="Arial"/>
                <w:sz w:val="24"/>
                <w:szCs w:val="24"/>
                <w:lang w:eastAsia="fr-FR"/>
              </w:rPr>
              <w:t xml:space="preserve">24 mars 2006, n° </w:t>
            </w:r>
            <w:hyperlink r:id="rId25" w:history="1">
              <w:r w:rsidRPr="00DE6672">
                <w:rPr>
                  <w:rStyle w:val="Lienhypertexte"/>
                  <w:rFonts w:eastAsia="Times New Roman" w:cs="Arial"/>
                  <w:sz w:val="24"/>
                  <w:szCs w:val="24"/>
                  <w:lang w:eastAsia="fr-FR"/>
                </w:rPr>
                <w:t>2884</w:t>
              </w:r>
              <w:r w:rsidRPr="00DE6672">
                <w:rPr>
                  <w:rStyle w:val="Lienhypertexte"/>
                  <w:rFonts w:eastAsia="Times New Roman" w:cs="Arial"/>
                  <w:sz w:val="24"/>
                  <w:szCs w:val="24"/>
                  <w:lang w:eastAsia="fr-FR"/>
                </w:rPr>
                <w:t>6</w:t>
              </w:r>
              <w:r w:rsidRPr="00DE6672">
                <w:rPr>
                  <w:rStyle w:val="Lienhypertexte"/>
                  <w:rFonts w:eastAsia="Times New Roman" w:cs="Arial"/>
                  <w:sz w:val="24"/>
                  <w:szCs w:val="24"/>
                  <w:lang w:eastAsia="fr-FR"/>
                </w:rPr>
                <w:t>0</w:t>
              </w:r>
            </w:hyperlink>
            <w:r w:rsidRPr="00DE6672">
              <w:rPr>
                <w:rFonts w:eastAsia="Times New Roman" w:cs="Arial"/>
                <w:color w:val="1071B6"/>
                <w:sz w:val="24"/>
                <w:szCs w:val="24"/>
                <w:lang w:eastAsia="fr-FR"/>
              </w:rPr>
              <w:t xml:space="preserve">, </w:t>
            </w:r>
            <w:r w:rsidRPr="00DE6672">
              <w:rPr>
                <w:rFonts w:eastAsia="Times New Roman" w:cs="Arial"/>
                <w:sz w:val="24"/>
                <w:szCs w:val="24"/>
                <w:lang w:eastAsia="fr-FR"/>
              </w:rPr>
              <w:t xml:space="preserve">Société KPMG </w:t>
            </w:r>
            <w:r w:rsidRPr="00136B5A">
              <w:rPr>
                <w:rFonts w:eastAsia="Times New Roman" w:cs="Arial"/>
                <w:sz w:val="24"/>
                <w:szCs w:val="24"/>
                <w:lang w:eastAsia="fr-FR"/>
              </w:rPr>
              <w:t xml:space="preserve">et de section </w:t>
            </w:r>
            <w:r w:rsidRPr="00DE6672">
              <w:rPr>
                <w:rFonts w:eastAsia="Times New Roman" w:cs="Arial"/>
                <w:sz w:val="24"/>
                <w:szCs w:val="24"/>
                <w:lang w:eastAsia="fr-FR"/>
              </w:rPr>
              <w:t xml:space="preserve">13 décembre 2006, </w:t>
            </w:r>
            <w:hyperlink r:id="rId26" w:history="1">
              <w:r w:rsidRPr="00DE6672">
                <w:rPr>
                  <w:rStyle w:val="Lienhypertexte"/>
                  <w:rFonts w:eastAsia="Times New Roman" w:cs="Arial"/>
                  <w:color w:val="auto"/>
                  <w:sz w:val="24"/>
                  <w:szCs w:val="24"/>
                  <w:lang w:eastAsia="fr-FR"/>
                </w:rPr>
                <w:t xml:space="preserve">n° </w:t>
              </w:r>
              <w:r w:rsidRPr="00DE6672">
                <w:rPr>
                  <w:rStyle w:val="Lienhypertexte"/>
                  <w:rFonts w:eastAsia="Times New Roman" w:cs="Arial"/>
                  <w:color w:val="632423" w:themeColor="accent2" w:themeShade="80"/>
                  <w:sz w:val="24"/>
                  <w:szCs w:val="24"/>
                  <w:lang w:eastAsia="fr-FR"/>
                </w:rPr>
                <w:t>28</w:t>
              </w:r>
              <w:r w:rsidRPr="00DE6672">
                <w:rPr>
                  <w:rStyle w:val="Lienhypertexte"/>
                  <w:rFonts w:eastAsia="Times New Roman" w:cs="Arial"/>
                  <w:color w:val="632423" w:themeColor="accent2" w:themeShade="80"/>
                  <w:sz w:val="24"/>
                  <w:szCs w:val="24"/>
                  <w:lang w:eastAsia="fr-FR"/>
                </w:rPr>
                <w:t>7</w:t>
              </w:r>
              <w:r w:rsidRPr="00DE6672">
                <w:rPr>
                  <w:rStyle w:val="Lienhypertexte"/>
                  <w:rFonts w:eastAsia="Times New Roman" w:cs="Arial"/>
                  <w:color w:val="632423" w:themeColor="accent2" w:themeShade="80"/>
                  <w:sz w:val="24"/>
                  <w:szCs w:val="24"/>
                  <w:lang w:eastAsia="fr-FR"/>
                </w:rPr>
                <w:t>845</w:t>
              </w:r>
            </w:hyperlink>
            <w:r w:rsidRPr="00DE6672">
              <w:rPr>
                <w:rFonts w:eastAsia="Times New Roman" w:cs="Arial"/>
                <w:sz w:val="24"/>
                <w:szCs w:val="24"/>
                <w:lang w:eastAsia="fr-FR"/>
              </w:rPr>
              <w:t xml:space="preserve"> Mme Lacroix</w:t>
            </w:r>
            <w:r w:rsidRPr="00136B5A">
              <w:rPr>
                <w:rFonts w:eastAsia="Times New Roman" w:cs="Arial"/>
                <w:sz w:val="24"/>
                <w:szCs w:val="24"/>
                <w:lang w:eastAsia="fr-FR"/>
              </w:rPr>
              <w:t>)</w:t>
            </w:r>
            <w:r w:rsidRPr="00DE6672">
              <w:rPr>
                <w:rFonts w:eastAsia="Times New Roman" w:cs="Arial"/>
                <w:sz w:val="24"/>
                <w:szCs w:val="24"/>
                <w:lang w:eastAsia="fr-FR"/>
              </w:rPr>
              <w:t xml:space="preserve"> </w:t>
            </w:r>
            <w:r w:rsidRPr="00136B5A">
              <w:rPr>
                <w:rFonts w:eastAsia="Times New Roman" w:cs="Arial"/>
                <w:sz w:val="24"/>
                <w:szCs w:val="24"/>
                <w:lang w:eastAsia="fr-FR"/>
              </w:rPr>
              <w:t>; </w:t>
            </w:r>
            <w:r w:rsidRPr="00136B5A">
              <w:rPr>
                <w:rFonts w:eastAsia="Times New Roman" w:cs="Arial"/>
                <w:sz w:val="24"/>
                <w:szCs w:val="24"/>
                <w:lang w:eastAsia="fr-FR"/>
              </w:rPr>
              <w:br/>
            </w:r>
            <w:r w:rsidRPr="00136B5A">
              <w:rPr>
                <w:rFonts w:eastAsia="Times New Roman" w:cs="Arial"/>
                <w:sz w:val="24"/>
                <w:szCs w:val="24"/>
                <w:lang w:eastAsia="fr-FR"/>
              </w:rPr>
              <w:br/>
            </w:r>
          </w:p>
          <w:p w:rsidR="00A851A0" w:rsidRPr="00DE6672" w:rsidRDefault="00A851A0" w:rsidP="00A851A0">
            <w:pPr>
              <w:jc w:val="both"/>
              <w:rPr>
                <w:rFonts w:eastAsia="Times New Roman" w:cs="Arial"/>
                <w:sz w:val="18"/>
                <w:szCs w:val="18"/>
                <w:lang w:eastAsia="fr-FR"/>
              </w:rPr>
            </w:pPr>
          </w:p>
          <w:p w:rsidR="00A851A0" w:rsidRPr="00DE6672" w:rsidRDefault="00A851A0" w:rsidP="00A851A0">
            <w:pPr>
              <w:jc w:val="both"/>
              <w:rPr>
                <w:rFonts w:eastAsia="Times New Roman" w:cs="Arial"/>
                <w:sz w:val="18"/>
                <w:szCs w:val="18"/>
                <w:lang w:eastAsia="fr-FR"/>
              </w:rPr>
            </w:pPr>
          </w:p>
          <w:p w:rsidR="00A851A0" w:rsidRPr="00DE6672" w:rsidRDefault="00A851A0" w:rsidP="00A851A0">
            <w:pPr>
              <w:jc w:val="both"/>
              <w:rPr>
                <w:rFonts w:eastAsia="Times New Roman" w:cs="Arial"/>
                <w:sz w:val="18"/>
                <w:szCs w:val="18"/>
                <w:lang w:eastAsia="fr-FR"/>
              </w:rPr>
            </w:pPr>
          </w:p>
          <w:p w:rsidR="00A851A0" w:rsidRPr="00DE6672" w:rsidRDefault="00A851A0" w:rsidP="00A851A0">
            <w:pPr>
              <w:jc w:val="both"/>
              <w:rPr>
                <w:rFonts w:eastAsia="Times New Roman" w:cs="Arial"/>
                <w:sz w:val="18"/>
                <w:szCs w:val="18"/>
                <w:lang w:eastAsia="fr-FR"/>
              </w:rPr>
            </w:pPr>
          </w:p>
          <w:p w:rsidR="00A851A0" w:rsidRPr="00DE6672" w:rsidRDefault="00A851A0" w:rsidP="00A851A0">
            <w:pPr>
              <w:jc w:val="both"/>
              <w:rPr>
                <w:rFonts w:eastAsia="Times New Roman" w:cs="Arial"/>
                <w:sz w:val="18"/>
                <w:szCs w:val="18"/>
                <w:lang w:eastAsia="fr-FR"/>
              </w:rPr>
            </w:pPr>
          </w:p>
          <w:p w:rsidR="00A851A0" w:rsidRPr="00DE6672" w:rsidRDefault="00A851A0" w:rsidP="00A851A0">
            <w:pPr>
              <w:jc w:val="both"/>
              <w:rPr>
                <w:rFonts w:eastAsia="Times New Roman" w:cs="Arial"/>
                <w:sz w:val="18"/>
                <w:szCs w:val="18"/>
                <w:lang w:eastAsia="fr-FR"/>
              </w:rPr>
            </w:pPr>
          </w:p>
          <w:p w:rsidR="00A851A0" w:rsidRPr="00DE6672" w:rsidRDefault="00A851A0" w:rsidP="00A851A0">
            <w:pPr>
              <w:jc w:val="both"/>
              <w:rPr>
                <w:rFonts w:eastAsia="Times New Roman" w:cs="Arial"/>
                <w:sz w:val="18"/>
                <w:szCs w:val="18"/>
                <w:lang w:eastAsia="fr-FR"/>
              </w:rPr>
            </w:pPr>
          </w:p>
          <w:p w:rsidR="00A851A0" w:rsidRPr="00DE6672" w:rsidRDefault="00A851A0" w:rsidP="00A851A0">
            <w:pPr>
              <w:jc w:val="both"/>
              <w:rPr>
                <w:rFonts w:eastAsia="Times New Roman" w:cs="Arial"/>
                <w:sz w:val="18"/>
                <w:szCs w:val="18"/>
                <w:lang w:eastAsia="fr-FR"/>
              </w:rPr>
            </w:pPr>
          </w:p>
          <w:p w:rsidR="00A851A0" w:rsidRPr="00DE6672" w:rsidRDefault="00A851A0" w:rsidP="00A851A0">
            <w:pPr>
              <w:jc w:val="both"/>
              <w:rPr>
                <w:rFonts w:eastAsia="Times New Roman" w:cs="Arial"/>
                <w:sz w:val="18"/>
                <w:szCs w:val="18"/>
                <w:lang w:eastAsia="fr-FR"/>
              </w:rPr>
            </w:pPr>
          </w:p>
          <w:p w:rsidR="00A851A0" w:rsidRPr="00DE6672" w:rsidRDefault="00A851A0" w:rsidP="00A851A0">
            <w:pPr>
              <w:jc w:val="both"/>
              <w:rPr>
                <w:rFonts w:eastAsia="Times New Roman" w:cs="Arial"/>
                <w:sz w:val="18"/>
                <w:szCs w:val="18"/>
                <w:lang w:eastAsia="fr-FR"/>
              </w:rPr>
            </w:pPr>
          </w:p>
          <w:p w:rsidR="00A851A0" w:rsidRPr="00DE6672" w:rsidRDefault="00A851A0" w:rsidP="00A851A0">
            <w:pPr>
              <w:jc w:val="both"/>
              <w:rPr>
                <w:rFonts w:eastAsia="Times New Roman" w:cs="Arial"/>
                <w:sz w:val="18"/>
                <w:szCs w:val="18"/>
                <w:lang w:eastAsia="fr-FR"/>
              </w:rPr>
            </w:pPr>
          </w:p>
          <w:p w:rsidR="00A851A0" w:rsidRPr="00DE6672" w:rsidRDefault="00A851A0" w:rsidP="00A851A0">
            <w:pPr>
              <w:jc w:val="both"/>
              <w:rPr>
                <w:rFonts w:eastAsia="Times New Roman" w:cs="Arial"/>
                <w:sz w:val="18"/>
                <w:szCs w:val="18"/>
                <w:lang w:eastAsia="fr-FR"/>
              </w:rPr>
            </w:pPr>
          </w:p>
          <w:p w:rsidR="00D911B8" w:rsidRPr="00DE6672" w:rsidRDefault="00A851A0" w:rsidP="00A851A0">
            <w:pPr>
              <w:jc w:val="both"/>
              <w:rPr>
                <w:rFonts w:cs="Arial"/>
                <w:sz w:val="24"/>
                <w:szCs w:val="24"/>
              </w:rPr>
            </w:pPr>
            <w:r w:rsidRPr="00DE6672">
              <w:rPr>
                <w:rFonts w:eastAsia="Times New Roman" w:cs="Arial"/>
                <w:sz w:val="18"/>
                <w:szCs w:val="18"/>
                <w:lang w:eastAsia="fr-FR"/>
              </w:rPr>
              <w:t>(2)</w:t>
            </w:r>
            <w:r w:rsidRPr="00DE6672">
              <w:rPr>
                <w:rFonts w:eastAsia="Times New Roman" w:cs="Arial"/>
                <w:sz w:val="18"/>
                <w:szCs w:val="18"/>
                <w:lang w:eastAsia="fr-FR"/>
              </w:rPr>
              <w:t xml:space="preserve"> L</w:t>
            </w:r>
            <w:r w:rsidRPr="00136B5A">
              <w:rPr>
                <w:rFonts w:eastAsia="Times New Roman" w:cs="Arial"/>
                <w:sz w:val="18"/>
                <w:szCs w:val="18"/>
                <w:lang w:eastAsia="fr-FR"/>
              </w:rPr>
              <w:t xml:space="preserve">es jurisprudences du Conseil d’État du  3 février 1989, n° </w:t>
            </w:r>
            <w:hyperlink r:id="rId27" w:history="1">
              <w:r w:rsidRPr="00DE6672">
                <w:rPr>
                  <w:rStyle w:val="Lienhypertexte"/>
                  <w:rFonts w:eastAsia="Times New Roman" w:cs="Arial"/>
                  <w:sz w:val="18"/>
                  <w:szCs w:val="18"/>
                  <w:lang w:eastAsia="fr-FR"/>
                </w:rPr>
                <w:t>74052</w:t>
              </w:r>
            </w:hyperlink>
            <w:r w:rsidRPr="00136B5A">
              <w:rPr>
                <w:rFonts w:eastAsia="Times New Roman" w:cs="Arial"/>
                <w:sz w:val="18"/>
                <w:szCs w:val="18"/>
                <w:lang w:eastAsia="fr-FR"/>
              </w:rPr>
              <w:t xml:space="preserve">, Compagnie Alitalia, en ce qui concerne les actes réglementaires et du 30 novembre 1990, n° </w:t>
            </w:r>
            <w:hyperlink r:id="rId28" w:history="1">
              <w:r w:rsidRPr="00DE6672">
                <w:rPr>
                  <w:rStyle w:val="Lienhypertexte"/>
                  <w:rFonts w:eastAsia="Times New Roman" w:cs="Arial"/>
                  <w:sz w:val="18"/>
                  <w:szCs w:val="18"/>
                  <w:lang w:eastAsia="fr-FR"/>
                </w:rPr>
                <w:t>103889</w:t>
              </w:r>
            </w:hyperlink>
            <w:r w:rsidRPr="00136B5A">
              <w:rPr>
                <w:rFonts w:eastAsia="Times New Roman" w:cs="Arial"/>
                <w:sz w:val="18"/>
                <w:szCs w:val="18"/>
                <w:lang w:eastAsia="fr-FR"/>
              </w:rPr>
              <w:t>, Association Les Verts, en ce qui concerne les actes non règlementaires non créateurs de droits.</w:t>
            </w:r>
            <w:r w:rsidRPr="00136B5A">
              <w:rPr>
                <w:rFonts w:eastAsia="Times New Roman" w:cs="Arial"/>
                <w:sz w:val="18"/>
                <w:szCs w:val="18"/>
                <w:lang w:eastAsia="fr-FR"/>
              </w:rPr>
              <w:br/>
            </w:r>
            <w:r w:rsidRPr="00136B5A">
              <w:rPr>
                <w:rFonts w:eastAsia="Times New Roman" w:cs="Arial"/>
                <w:sz w:val="18"/>
                <w:szCs w:val="18"/>
                <w:lang w:eastAsia="fr-FR"/>
              </w:rPr>
              <w:br/>
            </w:r>
          </w:p>
        </w:tc>
      </w:tr>
      <w:tr w:rsidR="00D911B8" w:rsidRPr="00DE6672" w:rsidTr="00D911B8">
        <w:tc>
          <w:tcPr>
            <w:tcW w:w="3096" w:type="dxa"/>
          </w:tcPr>
          <w:p w:rsidR="00D911B8" w:rsidRDefault="00A851A0" w:rsidP="006F269D">
            <w:pPr>
              <w:jc w:val="both"/>
              <w:rPr>
                <w:rFonts w:cs="Arial"/>
                <w:b/>
                <w:sz w:val="24"/>
                <w:szCs w:val="24"/>
              </w:rPr>
            </w:pPr>
            <w:r w:rsidRPr="00FE2F8C">
              <w:rPr>
                <w:rFonts w:cs="Arial"/>
                <w:b/>
                <w:sz w:val="24"/>
                <w:szCs w:val="24"/>
              </w:rPr>
              <w:lastRenderedPageBreak/>
              <w:t>A</w:t>
            </w:r>
            <w:r w:rsidRPr="00FE2F8C">
              <w:rPr>
                <w:rFonts w:cs="Arial"/>
                <w:b/>
                <w:sz w:val="24"/>
                <w:szCs w:val="24"/>
              </w:rPr>
              <w:t>cte administratif unilatéral obtenu par fraude</w:t>
            </w:r>
          </w:p>
          <w:p w:rsidR="00FE2F8C" w:rsidRDefault="00FE2F8C" w:rsidP="006F269D">
            <w:pPr>
              <w:jc w:val="both"/>
              <w:rPr>
                <w:rFonts w:cs="Arial"/>
                <w:b/>
                <w:sz w:val="24"/>
                <w:szCs w:val="24"/>
              </w:rPr>
            </w:pPr>
          </w:p>
          <w:p w:rsidR="00FE2F8C" w:rsidRPr="00FE2F8C" w:rsidRDefault="00FE2F8C" w:rsidP="006F269D">
            <w:pPr>
              <w:jc w:val="both"/>
              <w:rPr>
                <w:rFonts w:cs="Arial"/>
                <w:b/>
                <w:sz w:val="24"/>
                <w:szCs w:val="24"/>
              </w:rPr>
            </w:pPr>
            <w:r w:rsidRPr="00FE2F8C">
              <w:rPr>
                <w:rFonts w:cs="Arial"/>
                <w:sz w:val="24"/>
                <w:szCs w:val="24"/>
              </w:rPr>
              <w:t>(Par exemple un diplôme, un concours …)</w:t>
            </w:r>
          </w:p>
        </w:tc>
        <w:tc>
          <w:tcPr>
            <w:tcW w:w="3096" w:type="dxa"/>
          </w:tcPr>
          <w:p w:rsidR="00A851A0" w:rsidRPr="00FE2F8C" w:rsidRDefault="00A851A0" w:rsidP="006F269D">
            <w:pPr>
              <w:jc w:val="both"/>
              <w:rPr>
                <w:rFonts w:cs="Arial"/>
                <w:sz w:val="24"/>
                <w:szCs w:val="24"/>
              </w:rPr>
            </w:pPr>
            <w:r w:rsidRPr="00FE2F8C">
              <w:rPr>
                <w:rFonts w:cs="Arial"/>
                <w:sz w:val="24"/>
                <w:szCs w:val="24"/>
              </w:rPr>
              <w:t>u</w:t>
            </w:r>
            <w:r w:rsidRPr="00FE2F8C">
              <w:rPr>
                <w:rFonts w:cs="Arial"/>
                <w:sz w:val="24"/>
                <w:szCs w:val="24"/>
              </w:rPr>
              <w:t xml:space="preserve">n acte administratif unilatéral obtenu par fraude peut être abrogé ou retiré à tout moment </w:t>
            </w:r>
          </w:p>
          <w:p w:rsidR="00A851A0" w:rsidRPr="00FE2F8C" w:rsidRDefault="00A851A0" w:rsidP="006F269D">
            <w:pPr>
              <w:jc w:val="both"/>
              <w:rPr>
                <w:rFonts w:cs="Arial"/>
                <w:sz w:val="24"/>
                <w:szCs w:val="24"/>
              </w:rPr>
            </w:pPr>
          </w:p>
          <w:p w:rsidR="00D911B8" w:rsidRPr="00FE2F8C" w:rsidRDefault="00A851A0" w:rsidP="00A851A0">
            <w:pPr>
              <w:jc w:val="both"/>
              <w:rPr>
                <w:rFonts w:cs="Arial"/>
                <w:sz w:val="24"/>
                <w:szCs w:val="24"/>
              </w:rPr>
            </w:pPr>
            <w:r w:rsidRPr="00136B5A">
              <w:rPr>
                <w:rFonts w:eastAsia="Times New Roman" w:cs="Arial"/>
                <w:sz w:val="24"/>
                <w:szCs w:val="24"/>
                <w:lang w:eastAsia="fr-FR"/>
              </w:rPr>
              <w:t>(</w:t>
            </w:r>
            <w:r w:rsidRPr="00FE2F8C">
              <w:rPr>
                <w:rFonts w:eastAsia="Times New Roman" w:cs="Arial"/>
                <w:sz w:val="24"/>
                <w:szCs w:val="24"/>
                <w:lang w:eastAsia="fr-FR"/>
              </w:rPr>
              <w:t xml:space="preserve">Article </w:t>
            </w:r>
            <w:hyperlink r:id="rId29" w:history="1">
              <w:r w:rsidRPr="00FE2F8C">
                <w:rPr>
                  <w:rStyle w:val="Lienhypertexte"/>
                  <w:rFonts w:eastAsia="Times New Roman" w:cs="Arial"/>
                  <w:sz w:val="24"/>
                  <w:szCs w:val="24"/>
                  <w:lang w:eastAsia="fr-FR"/>
                </w:rPr>
                <w:t>L.241-2</w:t>
              </w:r>
            </w:hyperlink>
            <w:r w:rsidRPr="00136B5A">
              <w:rPr>
                <w:rFonts w:eastAsia="Times New Roman" w:cs="Arial"/>
                <w:sz w:val="24"/>
                <w:szCs w:val="24"/>
                <w:lang w:eastAsia="fr-FR"/>
              </w:rPr>
              <w:t xml:space="preserve"> </w:t>
            </w:r>
            <w:r w:rsidRPr="00FE2F8C">
              <w:rPr>
                <w:sz w:val="24"/>
                <w:szCs w:val="24"/>
              </w:rPr>
              <w:t>du code des relations entre le public et l’administration)</w:t>
            </w:r>
            <w:r w:rsidRPr="00FE2F8C">
              <w:rPr>
                <w:rFonts w:eastAsia="Times New Roman" w:cs="Arial"/>
                <w:sz w:val="24"/>
                <w:szCs w:val="24"/>
                <w:lang w:eastAsia="fr-FR"/>
              </w:rPr>
              <w:t>.</w:t>
            </w:r>
          </w:p>
        </w:tc>
        <w:tc>
          <w:tcPr>
            <w:tcW w:w="3096" w:type="dxa"/>
          </w:tcPr>
          <w:p w:rsidR="00D911B8" w:rsidRPr="00DE6672" w:rsidRDefault="00D911B8" w:rsidP="006F269D">
            <w:pPr>
              <w:jc w:val="both"/>
              <w:rPr>
                <w:rFonts w:cs="Arial"/>
                <w:sz w:val="24"/>
                <w:szCs w:val="24"/>
              </w:rPr>
            </w:pPr>
          </w:p>
        </w:tc>
      </w:tr>
    </w:tbl>
    <w:p w:rsidR="003407C4" w:rsidRPr="00DE6672" w:rsidRDefault="003407C4" w:rsidP="006F269D">
      <w:pPr>
        <w:jc w:val="both"/>
        <w:rPr>
          <w:rFonts w:cs="Arial"/>
          <w:sz w:val="24"/>
          <w:szCs w:val="24"/>
        </w:rPr>
      </w:pPr>
    </w:p>
    <w:p w:rsidR="003407C4" w:rsidRPr="00DE6672" w:rsidRDefault="003407C4" w:rsidP="006F269D">
      <w:pPr>
        <w:jc w:val="both"/>
        <w:rPr>
          <w:rFonts w:cs="Arial"/>
          <w:sz w:val="24"/>
          <w:szCs w:val="24"/>
        </w:rPr>
      </w:pPr>
    </w:p>
    <w:p w:rsidR="003407C4" w:rsidRPr="00DE6672" w:rsidRDefault="003407C4" w:rsidP="006F269D">
      <w:pPr>
        <w:jc w:val="both"/>
        <w:rPr>
          <w:sz w:val="24"/>
          <w:szCs w:val="24"/>
        </w:rPr>
      </w:pPr>
    </w:p>
    <w:sectPr w:rsidR="003407C4" w:rsidRPr="00DE66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45343"/>
    <w:multiLevelType w:val="multilevel"/>
    <w:tmpl w:val="0BF632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7B793A"/>
    <w:multiLevelType w:val="multilevel"/>
    <w:tmpl w:val="EE6C3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1726A5"/>
    <w:multiLevelType w:val="multilevel"/>
    <w:tmpl w:val="8F0C3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3074F0"/>
    <w:multiLevelType w:val="multilevel"/>
    <w:tmpl w:val="C6960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2D876D9"/>
    <w:multiLevelType w:val="hybridMultilevel"/>
    <w:tmpl w:val="ABD8EA84"/>
    <w:lvl w:ilvl="0" w:tplc="0240934E">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640A0F2C"/>
    <w:multiLevelType w:val="hybridMultilevel"/>
    <w:tmpl w:val="7C1263F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C88"/>
    <w:rsid w:val="00013C88"/>
    <w:rsid w:val="00136B5A"/>
    <w:rsid w:val="003340C6"/>
    <w:rsid w:val="003407C4"/>
    <w:rsid w:val="00465CAE"/>
    <w:rsid w:val="00692441"/>
    <w:rsid w:val="006F269D"/>
    <w:rsid w:val="00966041"/>
    <w:rsid w:val="009F3CDB"/>
    <w:rsid w:val="00A851A0"/>
    <w:rsid w:val="00BD6B0E"/>
    <w:rsid w:val="00D911B8"/>
    <w:rsid w:val="00DE6672"/>
    <w:rsid w:val="00FE2F8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013C88"/>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013C88"/>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013C88"/>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013C88"/>
    <w:rPr>
      <w:rFonts w:ascii="Times New Roman" w:eastAsia="Times New Roman" w:hAnsi="Times New Roman" w:cs="Times New Roman"/>
      <w:b/>
      <w:bCs/>
      <w:sz w:val="27"/>
      <w:szCs w:val="27"/>
      <w:lang w:eastAsia="fr-FR"/>
    </w:rPr>
  </w:style>
  <w:style w:type="character" w:styleId="Lienhypertexte">
    <w:name w:val="Hyperlink"/>
    <w:basedOn w:val="Policepardfaut"/>
    <w:uiPriority w:val="99"/>
    <w:unhideWhenUsed/>
    <w:rsid w:val="00013C88"/>
    <w:rPr>
      <w:strike w:val="0"/>
      <w:dstrike w:val="0"/>
      <w:color w:val="1071B6"/>
      <w:u w:val="none"/>
      <w:effect w:val="none"/>
    </w:rPr>
  </w:style>
  <w:style w:type="paragraph" w:styleId="Textedebulles">
    <w:name w:val="Balloon Text"/>
    <w:basedOn w:val="Normal"/>
    <w:link w:val="TextedebullesCar"/>
    <w:uiPriority w:val="99"/>
    <w:semiHidden/>
    <w:unhideWhenUsed/>
    <w:rsid w:val="00013C8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13C88"/>
    <w:rPr>
      <w:rFonts w:ascii="Tahoma" w:hAnsi="Tahoma" w:cs="Tahoma"/>
      <w:sz w:val="16"/>
      <w:szCs w:val="16"/>
    </w:rPr>
  </w:style>
  <w:style w:type="character" w:styleId="Lienhypertextesuivivisit">
    <w:name w:val="FollowedHyperlink"/>
    <w:basedOn w:val="Policepardfaut"/>
    <w:uiPriority w:val="99"/>
    <w:semiHidden/>
    <w:unhideWhenUsed/>
    <w:rsid w:val="009F3CDB"/>
    <w:rPr>
      <w:color w:val="800080" w:themeColor="followedHyperlink"/>
      <w:u w:val="single"/>
    </w:rPr>
  </w:style>
  <w:style w:type="character" w:customStyle="1" w:styleId="normal0">
    <w:name w:val="normal"/>
    <w:basedOn w:val="Policepardfaut"/>
    <w:rsid w:val="003407C4"/>
  </w:style>
  <w:style w:type="character" w:styleId="Accentuation">
    <w:name w:val="Emphasis"/>
    <w:basedOn w:val="Policepardfaut"/>
    <w:uiPriority w:val="20"/>
    <w:qFormat/>
    <w:rsid w:val="003407C4"/>
    <w:rPr>
      <w:i/>
      <w:iCs/>
    </w:rPr>
  </w:style>
  <w:style w:type="table" w:styleId="Grilledutableau">
    <w:name w:val="Table Grid"/>
    <w:basedOn w:val="TableauNormal"/>
    <w:uiPriority w:val="59"/>
    <w:rsid w:val="00340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m2code">
    <w:name w:val="tm2code"/>
    <w:basedOn w:val="Policepardfaut"/>
    <w:rsid w:val="00D911B8"/>
  </w:style>
  <w:style w:type="character" w:customStyle="1" w:styleId="apple-converted-space">
    <w:name w:val="apple-converted-space"/>
    <w:basedOn w:val="Policepardfaut"/>
    <w:rsid w:val="00D911B8"/>
  </w:style>
  <w:style w:type="character" w:customStyle="1" w:styleId="codelienart">
    <w:name w:val="codelienart"/>
    <w:basedOn w:val="Policepardfaut"/>
    <w:rsid w:val="00D911B8"/>
  </w:style>
  <w:style w:type="character" w:customStyle="1" w:styleId="tm3code">
    <w:name w:val="tm3code"/>
    <w:basedOn w:val="Policepardfaut"/>
    <w:rsid w:val="00D911B8"/>
  </w:style>
  <w:style w:type="character" w:customStyle="1" w:styleId="tm4code">
    <w:name w:val="tm4code"/>
    <w:basedOn w:val="Policepardfaut"/>
    <w:rsid w:val="00D911B8"/>
  </w:style>
  <w:style w:type="paragraph" w:styleId="NormalWeb">
    <w:name w:val="Normal (Web)"/>
    <w:basedOn w:val="Normal"/>
    <w:uiPriority w:val="99"/>
    <w:semiHidden/>
    <w:unhideWhenUsed/>
    <w:rsid w:val="00D911B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DE66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013C88"/>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013C88"/>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013C88"/>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013C88"/>
    <w:rPr>
      <w:rFonts w:ascii="Times New Roman" w:eastAsia="Times New Roman" w:hAnsi="Times New Roman" w:cs="Times New Roman"/>
      <w:b/>
      <w:bCs/>
      <w:sz w:val="27"/>
      <w:szCs w:val="27"/>
      <w:lang w:eastAsia="fr-FR"/>
    </w:rPr>
  </w:style>
  <w:style w:type="character" w:styleId="Lienhypertexte">
    <w:name w:val="Hyperlink"/>
    <w:basedOn w:val="Policepardfaut"/>
    <w:uiPriority w:val="99"/>
    <w:unhideWhenUsed/>
    <w:rsid w:val="00013C88"/>
    <w:rPr>
      <w:strike w:val="0"/>
      <w:dstrike w:val="0"/>
      <w:color w:val="1071B6"/>
      <w:u w:val="none"/>
      <w:effect w:val="none"/>
    </w:rPr>
  </w:style>
  <w:style w:type="paragraph" w:styleId="Textedebulles">
    <w:name w:val="Balloon Text"/>
    <w:basedOn w:val="Normal"/>
    <w:link w:val="TextedebullesCar"/>
    <w:uiPriority w:val="99"/>
    <w:semiHidden/>
    <w:unhideWhenUsed/>
    <w:rsid w:val="00013C8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13C88"/>
    <w:rPr>
      <w:rFonts w:ascii="Tahoma" w:hAnsi="Tahoma" w:cs="Tahoma"/>
      <w:sz w:val="16"/>
      <w:szCs w:val="16"/>
    </w:rPr>
  </w:style>
  <w:style w:type="character" w:styleId="Lienhypertextesuivivisit">
    <w:name w:val="FollowedHyperlink"/>
    <w:basedOn w:val="Policepardfaut"/>
    <w:uiPriority w:val="99"/>
    <w:semiHidden/>
    <w:unhideWhenUsed/>
    <w:rsid w:val="009F3CDB"/>
    <w:rPr>
      <w:color w:val="800080" w:themeColor="followedHyperlink"/>
      <w:u w:val="single"/>
    </w:rPr>
  </w:style>
  <w:style w:type="character" w:customStyle="1" w:styleId="normal0">
    <w:name w:val="normal"/>
    <w:basedOn w:val="Policepardfaut"/>
    <w:rsid w:val="003407C4"/>
  </w:style>
  <w:style w:type="character" w:styleId="Accentuation">
    <w:name w:val="Emphasis"/>
    <w:basedOn w:val="Policepardfaut"/>
    <w:uiPriority w:val="20"/>
    <w:qFormat/>
    <w:rsid w:val="003407C4"/>
    <w:rPr>
      <w:i/>
      <w:iCs/>
    </w:rPr>
  </w:style>
  <w:style w:type="table" w:styleId="Grilledutableau">
    <w:name w:val="Table Grid"/>
    <w:basedOn w:val="TableauNormal"/>
    <w:uiPriority w:val="59"/>
    <w:rsid w:val="00340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m2code">
    <w:name w:val="tm2code"/>
    <w:basedOn w:val="Policepardfaut"/>
    <w:rsid w:val="00D911B8"/>
  </w:style>
  <w:style w:type="character" w:customStyle="1" w:styleId="apple-converted-space">
    <w:name w:val="apple-converted-space"/>
    <w:basedOn w:val="Policepardfaut"/>
    <w:rsid w:val="00D911B8"/>
  </w:style>
  <w:style w:type="character" w:customStyle="1" w:styleId="codelienart">
    <w:name w:val="codelienart"/>
    <w:basedOn w:val="Policepardfaut"/>
    <w:rsid w:val="00D911B8"/>
  </w:style>
  <w:style w:type="character" w:customStyle="1" w:styleId="tm3code">
    <w:name w:val="tm3code"/>
    <w:basedOn w:val="Policepardfaut"/>
    <w:rsid w:val="00D911B8"/>
  </w:style>
  <w:style w:type="character" w:customStyle="1" w:styleId="tm4code">
    <w:name w:val="tm4code"/>
    <w:basedOn w:val="Policepardfaut"/>
    <w:rsid w:val="00D911B8"/>
  </w:style>
  <w:style w:type="paragraph" w:styleId="NormalWeb">
    <w:name w:val="Normal (Web)"/>
    <w:basedOn w:val="Normal"/>
    <w:uiPriority w:val="99"/>
    <w:semiHidden/>
    <w:unhideWhenUsed/>
    <w:rsid w:val="00D911B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DE66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355853">
      <w:bodyDiv w:val="1"/>
      <w:marLeft w:val="0"/>
      <w:marRight w:val="0"/>
      <w:marTop w:val="0"/>
      <w:marBottom w:val="0"/>
      <w:divBdr>
        <w:top w:val="none" w:sz="0" w:space="0" w:color="auto"/>
        <w:left w:val="none" w:sz="0" w:space="0" w:color="auto"/>
        <w:bottom w:val="none" w:sz="0" w:space="0" w:color="auto"/>
        <w:right w:val="none" w:sz="0" w:space="0" w:color="auto"/>
      </w:divBdr>
    </w:div>
    <w:div w:id="441073892">
      <w:bodyDiv w:val="1"/>
      <w:marLeft w:val="0"/>
      <w:marRight w:val="0"/>
      <w:marTop w:val="0"/>
      <w:marBottom w:val="0"/>
      <w:divBdr>
        <w:top w:val="none" w:sz="0" w:space="0" w:color="auto"/>
        <w:left w:val="none" w:sz="0" w:space="0" w:color="auto"/>
        <w:bottom w:val="none" w:sz="0" w:space="0" w:color="auto"/>
        <w:right w:val="none" w:sz="0" w:space="0" w:color="auto"/>
      </w:divBdr>
      <w:divsChild>
        <w:div w:id="1275209783">
          <w:marLeft w:val="0"/>
          <w:marRight w:val="0"/>
          <w:marTop w:val="0"/>
          <w:marBottom w:val="150"/>
          <w:divBdr>
            <w:top w:val="none" w:sz="0" w:space="0" w:color="auto"/>
            <w:left w:val="none" w:sz="0" w:space="0" w:color="auto"/>
            <w:bottom w:val="none" w:sz="0" w:space="0" w:color="auto"/>
            <w:right w:val="none" w:sz="0" w:space="0" w:color="auto"/>
          </w:divBdr>
        </w:div>
      </w:divsChild>
    </w:div>
    <w:div w:id="511460607">
      <w:bodyDiv w:val="1"/>
      <w:marLeft w:val="0"/>
      <w:marRight w:val="0"/>
      <w:marTop w:val="0"/>
      <w:marBottom w:val="0"/>
      <w:divBdr>
        <w:top w:val="none" w:sz="0" w:space="0" w:color="auto"/>
        <w:left w:val="none" w:sz="0" w:space="0" w:color="auto"/>
        <w:bottom w:val="none" w:sz="0" w:space="0" w:color="auto"/>
        <w:right w:val="none" w:sz="0" w:space="0" w:color="auto"/>
      </w:divBdr>
      <w:divsChild>
        <w:div w:id="214779493">
          <w:marLeft w:val="0"/>
          <w:marRight w:val="0"/>
          <w:marTop w:val="0"/>
          <w:marBottom w:val="150"/>
          <w:divBdr>
            <w:top w:val="none" w:sz="0" w:space="0" w:color="auto"/>
            <w:left w:val="none" w:sz="0" w:space="0" w:color="auto"/>
            <w:bottom w:val="none" w:sz="0" w:space="0" w:color="auto"/>
            <w:right w:val="none" w:sz="0" w:space="0" w:color="auto"/>
          </w:divBdr>
        </w:div>
      </w:divsChild>
    </w:div>
    <w:div w:id="754938301">
      <w:bodyDiv w:val="1"/>
      <w:marLeft w:val="0"/>
      <w:marRight w:val="0"/>
      <w:marTop w:val="0"/>
      <w:marBottom w:val="0"/>
      <w:divBdr>
        <w:top w:val="none" w:sz="0" w:space="0" w:color="auto"/>
        <w:left w:val="none" w:sz="0" w:space="0" w:color="auto"/>
        <w:bottom w:val="none" w:sz="0" w:space="0" w:color="auto"/>
        <w:right w:val="none" w:sz="0" w:space="0" w:color="auto"/>
      </w:divBdr>
      <w:divsChild>
        <w:div w:id="2130076800">
          <w:marLeft w:val="0"/>
          <w:marRight w:val="0"/>
          <w:marTop w:val="0"/>
          <w:marBottom w:val="0"/>
          <w:divBdr>
            <w:top w:val="none" w:sz="0" w:space="0" w:color="auto"/>
            <w:left w:val="none" w:sz="0" w:space="0" w:color="auto"/>
            <w:bottom w:val="none" w:sz="0" w:space="0" w:color="auto"/>
            <w:right w:val="none" w:sz="0" w:space="0" w:color="auto"/>
          </w:divBdr>
          <w:divsChild>
            <w:div w:id="1746562239">
              <w:marLeft w:val="0"/>
              <w:marRight w:val="0"/>
              <w:marTop w:val="0"/>
              <w:marBottom w:val="0"/>
              <w:divBdr>
                <w:top w:val="none" w:sz="0" w:space="0" w:color="auto"/>
                <w:left w:val="none" w:sz="0" w:space="0" w:color="auto"/>
                <w:bottom w:val="none" w:sz="0" w:space="0" w:color="auto"/>
                <w:right w:val="none" w:sz="0" w:space="0" w:color="auto"/>
              </w:divBdr>
              <w:divsChild>
                <w:div w:id="1326207541">
                  <w:marLeft w:val="0"/>
                  <w:marRight w:val="0"/>
                  <w:marTop w:val="0"/>
                  <w:marBottom w:val="0"/>
                  <w:divBdr>
                    <w:top w:val="none" w:sz="0" w:space="0" w:color="auto"/>
                    <w:left w:val="none" w:sz="0" w:space="0" w:color="auto"/>
                    <w:bottom w:val="none" w:sz="0" w:space="0" w:color="auto"/>
                    <w:right w:val="none" w:sz="0" w:space="0" w:color="auto"/>
                  </w:divBdr>
                  <w:divsChild>
                    <w:div w:id="444738245">
                      <w:marLeft w:val="0"/>
                      <w:marRight w:val="0"/>
                      <w:marTop w:val="0"/>
                      <w:marBottom w:val="0"/>
                      <w:divBdr>
                        <w:top w:val="none" w:sz="0" w:space="0" w:color="auto"/>
                        <w:left w:val="none" w:sz="0" w:space="0" w:color="auto"/>
                        <w:bottom w:val="none" w:sz="0" w:space="0" w:color="auto"/>
                        <w:right w:val="none" w:sz="0" w:space="0" w:color="auto"/>
                      </w:divBdr>
                      <w:divsChild>
                        <w:div w:id="1444037150">
                          <w:marLeft w:val="0"/>
                          <w:marRight w:val="0"/>
                          <w:marTop w:val="0"/>
                          <w:marBottom w:val="0"/>
                          <w:divBdr>
                            <w:top w:val="none" w:sz="0" w:space="0" w:color="auto"/>
                            <w:left w:val="none" w:sz="0" w:space="0" w:color="auto"/>
                            <w:bottom w:val="none" w:sz="0" w:space="0" w:color="auto"/>
                            <w:right w:val="none" w:sz="0" w:space="0" w:color="auto"/>
                          </w:divBdr>
                          <w:divsChild>
                            <w:div w:id="1336877724">
                              <w:marLeft w:val="0"/>
                              <w:marRight w:val="0"/>
                              <w:marTop w:val="0"/>
                              <w:marBottom w:val="0"/>
                              <w:divBdr>
                                <w:top w:val="none" w:sz="0" w:space="0" w:color="auto"/>
                                <w:left w:val="none" w:sz="0" w:space="0" w:color="auto"/>
                                <w:bottom w:val="none" w:sz="0" w:space="0" w:color="auto"/>
                                <w:right w:val="none" w:sz="0" w:space="0" w:color="auto"/>
                              </w:divBdr>
                              <w:divsChild>
                                <w:div w:id="569116764">
                                  <w:marLeft w:val="0"/>
                                  <w:marRight w:val="0"/>
                                  <w:marTop w:val="0"/>
                                  <w:marBottom w:val="0"/>
                                  <w:divBdr>
                                    <w:top w:val="none" w:sz="0" w:space="0" w:color="auto"/>
                                    <w:left w:val="none" w:sz="0" w:space="0" w:color="auto"/>
                                    <w:bottom w:val="none" w:sz="0" w:space="0" w:color="auto"/>
                                    <w:right w:val="none" w:sz="0" w:space="0" w:color="auto"/>
                                  </w:divBdr>
                                </w:div>
                                <w:div w:id="738554445">
                                  <w:marLeft w:val="0"/>
                                  <w:marRight w:val="0"/>
                                  <w:marTop w:val="0"/>
                                  <w:marBottom w:val="0"/>
                                  <w:divBdr>
                                    <w:top w:val="none" w:sz="0" w:space="0" w:color="auto"/>
                                    <w:left w:val="none" w:sz="0" w:space="0" w:color="auto"/>
                                    <w:bottom w:val="none" w:sz="0" w:space="0" w:color="auto"/>
                                    <w:right w:val="none" w:sz="0" w:space="0" w:color="auto"/>
                                  </w:divBdr>
                                </w:div>
                                <w:div w:id="45969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affichCode.do?cidTexte=LEGITEXT000031366350" TargetMode="External"/><Relationship Id="rId13" Type="http://schemas.openxmlformats.org/officeDocument/2006/relationships/hyperlink" Target="https://www.legifrance.gouv.fr/affichCode.do;jsessionid=0755F2AF0B1E4B9A65E421535C2F4B38.tpdila10v_2?idSectionTA=LEGISCTA000031367667&amp;cidTexte=LEGITEXT000031366350&amp;dateTexte=20160623" TargetMode="External"/><Relationship Id="rId18" Type="http://schemas.openxmlformats.org/officeDocument/2006/relationships/hyperlink" Target="https://www.legifrance.gouv.fr/affichJuriAdmin.do?oldAction=rechJuriAdmin&amp;idTexte=CETATEXT000008072768&amp;fastReqId=1157008551&amp;fastPos=2" TargetMode="External"/><Relationship Id="rId26" Type="http://schemas.openxmlformats.org/officeDocument/2006/relationships/hyperlink" Target="https://www.legifrance.gouv.fr/affichJuriAdmin.do?oldAction=rechJuriAdmin&amp;idTexte=CETATEXT000008251716&amp;fastReqId=633365603&amp;fastPos=1" TargetMode="External"/><Relationship Id="rId3" Type="http://schemas.microsoft.com/office/2007/relationships/stylesWithEffects" Target="stylesWithEffects.xml"/><Relationship Id="rId21" Type="http://schemas.openxmlformats.org/officeDocument/2006/relationships/hyperlink" Target="https://www.legifrance.gouv.fr/affichCodeArticle.do;jsessionid=0755F2AF0B1E4B9A65E421535C2F4B38.tpdila10v_2?idArticle=LEGIARTI000031367683&amp;cidTexte=LEGITEXT000031366350&amp;dateTexte=20160623" TargetMode="External"/><Relationship Id="rId7" Type="http://schemas.openxmlformats.org/officeDocument/2006/relationships/hyperlink" Target="https://www.legifrance.gouv.fr/affichTexteArticle.do;jsessionid=376058E653C5FF5DBAC6B7590423C813.tpdila14v_2?idArticle=LEGIARTI000028183314&amp;cidTexte=LEGITEXT000028183309&amp;dateTexte=20160623" TargetMode="External"/><Relationship Id="rId12" Type="http://schemas.openxmlformats.org/officeDocument/2006/relationships/hyperlink" Target="https://www.legifrance.gouv.fr/affichCode.do;jsessionid=0755F2AF0B1E4B9A65E421535C2F4B38.tpdila10v_2?idSectionTA=LEGISCTA000031367661&amp;cidTexte=LEGITEXT000031366350&amp;dateTexte=20160623" TargetMode="External"/><Relationship Id="rId17" Type="http://schemas.openxmlformats.org/officeDocument/2006/relationships/hyperlink" Target="https://www.legifrance.gouv.fr/affichCodeArticle.do;jsessionid=0755F2AF0B1E4B9A65E421535C2F4B38.tpdila10v_2?idArticle=LEGIARTI000031367657&amp;cidTexte=LEGITEXT000031366350&amp;dateTexte=20160623" TargetMode="External"/><Relationship Id="rId25" Type="http://schemas.openxmlformats.org/officeDocument/2006/relationships/hyperlink" Target="https://www.legifrance.gouv.fr/affichJuriAdmin.do?oldAction=rechJuriAdmin&amp;idTexte=CETATEXT000008241143&amp;fastReqId=2107332885&amp;fastPos=1" TargetMode="External"/><Relationship Id="rId2" Type="http://schemas.openxmlformats.org/officeDocument/2006/relationships/styles" Target="styles.xml"/><Relationship Id="rId16" Type="http://schemas.openxmlformats.org/officeDocument/2006/relationships/hyperlink" Target="https://www.legifrance.gouv.fr/affichCodeArticle.do;jsessionid=0755F2AF0B1E4B9A65E421535C2F4B38.tpdila10v_2?idArticle=LEGIARTI000031367643&amp;cidTexte=LEGITEXT000031366350&amp;dateTexte=20160623" TargetMode="External"/><Relationship Id="rId20" Type="http://schemas.openxmlformats.org/officeDocument/2006/relationships/hyperlink" Target="https://www.legifrance.gouv.fr/affichCodeArticle.do;jsessionid=0755F2AF0B1E4B9A65E421535C2F4B38.tpdila10v_2?idArticle=LEGIARTI000031367681&amp;cidTexte=LEGITEXT000031366350&amp;dateTexte=20160623" TargetMode="External"/><Relationship Id="rId29" Type="http://schemas.openxmlformats.org/officeDocument/2006/relationships/hyperlink" Target="https://www.legifrance.gouv.fr/affichCodeArticle.do;jsessionid=0755F2AF0B1E4B9A65E421535C2F4B38.tpdila10v_2?idArticle=LEGIARTI000031367651&amp;cidTexte=LEGITEXT000031366350&amp;dateTexte=20160623" TargetMode="External"/><Relationship Id="rId1" Type="http://schemas.openxmlformats.org/officeDocument/2006/relationships/numbering" Target="numbering.xml"/><Relationship Id="rId6" Type="http://schemas.openxmlformats.org/officeDocument/2006/relationships/hyperlink" Target="https://www.legifrance.gouv.fr/affichCode.do?cidTexte=LEGITEXT000031366350" TargetMode="External"/><Relationship Id="rId11" Type="http://schemas.openxmlformats.org/officeDocument/2006/relationships/hyperlink" Target="https://www.legifrance.gouv.fr/affichCode.do;jsessionid=0755F2AF0B1E4B9A65E421535C2F4B38.tpdila10v_2?idSectionTA=LEGISCTA000031367655&amp;cidTexte=LEGITEXT000031366350&amp;dateTexte=20160623" TargetMode="External"/><Relationship Id="rId24" Type="http://schemas.openxmlformats.org/officeDocument/2006/relationships/hyperlink" Target="https://www.legifrance.gouv.fr/affichCodeArticle.do;jsessionid=0755F2AF0B1E4B9A65E421535C2F4B38.tpdila10v_2?idArticle=LEGIARTI000031367677&amp;cidTexte=LEGITEXT000031366350&amp;dateTexte=20160623&amp;categorieLien=id&amp;oldAction=" TargetMode="External"/><Relationship Id="rId5" Type="http://schemas.openxmlformats.org/officeDocument/2006/relationships/webSettings" Target="webSettings.xml"/><Relationship Id="rId15" Type="http://schemas.openxmlformats.org/officeDocument/2006/relationships/hyperlink" Target="https://www.legifrance.gouv.fr/affichCode.do;jsessionid=0755F2AF0B1E4B9A65E421535C2F4B38.tpdila10v_2?idSectionTA=LEGISCTA000031367679&amp;cidTexte=LEGITEXT000031366350&amp;dateTexte=20160623" TargetMode="External"/><Relationship Id="rId23" Type="http://schemas.openxmlformats.org/officeDocument/2006/relationships/hyperlink" Target="https://www.legifrance.gouv.fr/affichCodeArticle.do;jsessionid=0755F2AF0B1E4B9A65E421535C2F4B38.tpdila10v_2?idArticle=LEGIARTI000031367551&amp;cidTexte=LEGITEXT000031366350&amp;dateTexte=20160623" TargetMode="External"/><Relationship Id="rId28" Type="http://schemas.openxmlformats.org/officeDocument/2006/relationships/hyperlink" Target="https://www.legifrance.gouv.fr/affichJuriAdmin.do?oldAction=rechJuriAdmin&amp;idTexte=CETATEXT000007797115&amp;fastReqId=167327534&amp;fastPos=1" TargetMode="External"/><Relationship Id="rId10" Type="http://schemas.openxmlformats.org/officeDocument/2006/relationships/hyperlink" Target="https://www.legifrance.gouv.fr/affichCode.do;jsessionid=0755F2AF0B1E4B9A65E421535C2F4B38.tpdila10v_2?idSectionTA=LEGISCTA000031367647&amp;cidTexte=LEGITEXT000031366350&amp;dateTexte=20160623" TargetMode="External"/><Relationship Id="rId19" Type="http://schemas.openxmlformats.org/officeDocument/2006/relationships/hyperlink" Target="https://www.legifrance.gouv.fr/affichJuriAdmin.do?oldAction=rechJuriAdmin&amp;idTexte=CETATEXT000020381741&amp;fastReqId=508192682&amp;fastPos=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france.gouv.fr/affichCode.do;jsessionid=0755F2AF0B1E4B9A65E421535C2F4B38.tpdila10v_2?idSectionTA=LEGISCTA000031367641&amp;cidTexte=LEGITEXT000031366350&amp;dateTexte=20160623" TargetMode="External"/><Relationship Id="rId14" Type="http://schemas.openxmlformats.org/officeDocument/2006/relationships/hyperlink" Target="https://www.legifrance.gouv.fr/affichCode.do;jsessionid=0755F2AF0B1E4B9A65E421535C2F4B38.tpdila10v_2?idSectionTA=LEGISCTA000031367673&amp;cidTexte=LEGITEXT000031366350&amp;dateTexte=20160623" TargetMode="External"/><Relationship Id="rId22" Type="http://schemas.openxmlformats.org/officeDocument/2006/relationships/hyperlink" Target="https://www.legifrance.gouv.fr/affichCodeArticle.do;jsessionid=0755F2AF0B1E4B9A65E421535C2F4B38.tpdila10v_2?idArticle=LEGIARTI000031367675&amp;cidTexte=LEGITEXT000031366350&amp;dateTexte=20160623" TargetMode="External"/><Relationship Id="rId27" Type="http://schemas.openxmlformats.org/officeDocument/2006/relationships/hyperlink" Target="https://www.legifrance.gouv.fr/affichJuriAdmin.do?oldAction=rechJuriAdmin&amp;idTexte=CETATEXT000007754163&amp;fastReqId=1074664293&amp;fastPos=1" TargetMode="Externa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573</TotalTime>
  <Pages>3</Pages>
  <Words>1471</Words>
  <Characters>8093</Characters>
  <Application>Microsoft Office Word</Application>
  <DocSecurity>0</DocSecurity>
  <Lines>67</Lines>
  <Paragraphs>19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9545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ICARD</dc:creator>
  <cp:lastModifiedBy>ICARD</cp:lastModifiedBy>
  <cp:revision>2</cp:revision>
  <dcterms:created xsi:type="dcterms:W3CDTF">2016-06-22T20:17:00Z</dcterms:created>
  <dcterms:modified xsi:type="dcterms:W3CDTF">2016-06-23T05:50:00Z</dcterms:modified>
</cp:coreProperties>
</file>