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298" w:rsidRPr="00B4424A" w:rsidRDefault="00EE5298" w:rsidP="00EE5298">
      <w:pPr>
        <w:spacing w:before="100" w:beforeAutospacing="1" w:after="100" w:afterAutospacing="1"/>
        <w:jc w:val="center"/>
        <w:outlineLvl w:val="5"/>
        <w:rPr>
          <w:rFonts w:ascii="Garamond" w:eastAsia="Times New Roman" w:hAnsi="Garamond" w:cs="Times New Roman"/>
          <w:b/>
          <w:bCs/>
          <w:color w:val="333333"/>
          <w:lang w:eastAsia="fr-FR"/>
        </w:rPr>
      </w:pPr>
      <w:r w:rsidRPr="00EE5298">
        <w:rPr>
          <w:rFonts w:ascii="Garamond" w:eastAsia="Times New Roman" w:hAnsi="Garamond" w:cs="Times New Roman"/>
          <w:b/>
          <w:bCs/>
          <w:color w:val="333333"/>
          <w:lang w:eastAsia="fr-FR"/>
        </w:rPr>
        <w:t>L</w:t>
      </w:r>
      <w:r>
        <w:rPr>
          <w:rFonts w:ascii="Garamond" w:eastAsia="Times New Roman" w:hAnsi="Garamond" w:cs="Times New Roman"/>
          <w:b/>
          <w:bCs/>
          <w:color w:val="333333"/>
          <w:lang w:eastAsia="fr-FR"/>
        </w:rPr>
        <w:t>e manquement</w:t>
      </w:r>
      <w:r w:rsidRPr="00EE5298">
        <w:rPr>
          <w:rFonts w:ascii="Garamond" w:eastAsia="Times New Roman" w:hAnsi="Garamond" w:cs="Times New Roman"/>
          <w:b/>
          <w:bCs/>
          <w:color w:val="333333"/>
          <w:lang w:eastAsia="fr-FR"/>
        </w:rPr>
        <w:t xml:space="preserve"> d’un professionnel de santé</w:t>
      </w:r>
      <w:r>
        <w:rPr>
          <w:rFonts w:ascii="Garamond" w:eastAsia="Times New Roman" w:hAnsi="Garamond" w:cs="Times New Roman"/>
          <w:b/>
          <w:bCs/>
          <w:color w:val="333333"/>
          <w:lang w:eastAsia="fr-FR"/>
        </w:rPr>
        <w:t xml:space="preserve"> à l’obligation d’assurance</w:t>
      </w:r>
    </w:p>
    <w:p w:rsidR="00EE5298" w:rsidRDefault="00EE5298" w:rsidP="00EE5298">
      <w:pPr>
        <w:spacing w:line="360" w:lineRule="atLeast"/>
        <w:jc w:val="both"/>
        <w:rPr>
          <w:rFonts w:ascii="Garamond" w:eastAsia="Times New Roman" w:hAnsi="Garamond" w:cs="Times New Roman"/>
          <w:color w:val="333333"/>
          <w:lang w:eastAsia="fr-FR"/>
        </w:rPr>
      </w:pPr>
    </w:p>
    <w:p w:rsidR="00EE5298" w:rsidRPr="00EE5298" w:rsidRDefault="00EE5298" w:rsidP="00EE5298">
      <w:pPr>
        <w:spacing w:line="360" w:lineRule="atLeast"/>
        <w:jc w:val="both"/>
        <w:rPr>
          <w:rFonts w:ascii="Garamond" w:eastAsia="Times New Roman" w:hAnsi="Garamond" w:cs="Times New Roman"/>
          <w:color w:val="333333"/>
          <w:lang w:eastAsia="fr-FR"/>
        </w:rPr>
      </w:pPr>
      <w:r w:rsidRPr="00B4424A">
        <w:rPr>
          <w:rFonts w:ascii="Garamond" w:eastAsia="Times New Roman" w:hAnsi="Garamond" w:cs="Times New Roman"/>
          <w:color w:val="333333"/>
          <w:lang w:eastAsia="fr-FR"/>
        </w:rPr>
        <w:t>Aux termes de l'article</w:t>
      </w:r>
      <w:r>
        <w:rPr>
          <w:rFonts w:ascii="Garamond" w:eastAsia="Times New Roman" w:hAnsi="Garamond" w:cs="Times New Roman"/>
          <w:color w:val="333333"/>
          <w:lang w:eastAsia="fr-FR"/>
        </w:rPr>
        <w:t xml:space="preserve"> L. 1142-2</w:t>
      </w:r>
      <w:r w:rsidRPr="00B4424A">
        <w:rPr>
          <w:rFonts w:ascii="Garamond" w:eastAsia="Times New Roman" w:hAnsi="Garamond" w:cs="Times New Roman"/>
          <w:color w:val="333333"/>
          <w:lang w:eastAsia="fr-FR"/>
        </w:rPr>
        <w:t xml:space="preserve"> du </w:t>
      </w:r>
      <w:r>
        <w:rPr>
          <w:rFonts w:ascii="Garamond" w:eastAsia="Times New Roman" w:hAnsi="Garamond" w:cs="Times New Roman"/>
          <w:color w:val="333333"/>
          <w:lang w:eastAsia="fr-FR"/>
        </w:rPr>
        <w:t>C</w:t>
      </w:r>
      <w:r w:rsidRPr="00B4424A">
        <w:rPr>
          <w:rFonts w:ascii="Garamond" w:eastAsia="Times New Roman" w:hAnsi="Garamond" w:cs="Times New Roman"/>
          <w:color w:val="333333"/>
          <w:lang w:eastAsia="fr-FR"/>
        </w:rPr>
        <w:t>ode de la santé publique, l</w:t>
      </w:r>
      <w:r>
        <w:rPr>
          <w:rFonts w:ascii="Garamond" w:eastAsia="Times New Roman" w:hAnsi="Garamond" w:cs="Times New Roman"/>
          <w:color w:val="333333"/>
          <w:lang w:eastAsia="fr-FR"/>
        </w:rPr>
        <w:t xml:space="preserve">es </w:t>
      </w:r>
      <w:r w:rsidRPr="00B4424A">
        <w:rPr>
          <w:rFonts w:ascii="Garamond" w:eastAsia="Times New Roman" w:hAnsi="Garamond" w:cs="Times New Roman"/>
          <w:color w:val="333333"/>
          <w:lang w:eastAsia="fr-FR"/>
        </w:rPr>
        <w:t>professionnels de santé exerçant à titre libéral</w:t>
      </w:r>
      <w:r>
        <w:rPr>
          <w:rFonts w:ascii="Garamond" w:eastAsia="Times New Roman" w:hAnsi="Garamond" w:cs="Times New Roman"/>
          <w:color w:val="333333"/>
          <w:lang w:eastAsia="fr-FR"/>
        </w:rPr>
        <w:t xml:space="preserve"> </w:t>
      </w:r>
      <w:r w:rsidRPr="00EE5298">
        <w:rPr>
          <w:rFonts w:ascii="Garamond" w:eastAsia="Times New Roman" w:hAnsi="Garamond" w:cs="Times New Roman"/>
          <w:color w:val="333333"/>
          <w:lang w:eastAsia="fr-FR"/>
        </w:rPr>
        <w:t>sont tenus de souscrire une assurance destinée à les garantir pour leur responsabilité civile ou administrative susceptible d'être engagée en raison de dommages subis par des tiers et résultant d'atteintes à la personne, survenant dans le cadre de l'ensemble de cette activité.</w:t>
      </w:r>
    </w:p>
    <w:p w:rsidR="0042058C" w:rsidRDefault="00EE5298" w:rsidP="00EE5298">
      <w:pPr>
        <w:spacing w:line="360" w:lineRule="atLeast"/>
        <w:jc w:val="both"/>
        <w:rPr>
          <w:rFonts w:ascii="Garamond" w:eastAsia="Times New Roman" w:hAnsi="Garamond" w:cs="Times New Roman"/>
          <w:color w:val="333333"/>
          <w:lang w:eastAsia="fr-FR"/>
        </w:rPr>
      </w:pPr>
      <w:r>
        <w:rPr>
          <w:rFonts w:ascii="Garamond" w:eastAsia="Times New Roman" w:hAnsi="Garamond" w:cs="Times New Roman"/>
          <w:color w:val="333333"/>
          <w:lang w:eastAsia="fr-FR"/>
        </w:rPr>
        <w:t>Il s’agit en l’occurrence d</w:t>
      </w:r>
      <w:r w:rsidRPr="00B4424A">
        <w:rPr>
          <w:rFonts w:ascii="Garamond" w:eastAsia="Times New Roman" w:hAnsi="Garamond" w:cs="Times New Roman"/>
          <w:color w:val="333333"/>
          <w:lang w:eastAsia="fr-FR"/>
        </w:rPr>
        <w:t>es médecins, les sages-femmes, les chirurgiens-dentistes et les auxiliaires médicaux</w:t>
      </w:r>
      <w:r w:rsidRPr="00EE5298">
        <w:rPr>
          <w:rFonts w:ascii="Garamond" w:eastAsia="Times New Roman" w:hAnsi="Garamond" w:cs="Times New Roman"/>
          <w:color w:val="333333"/>
          <w:lang w:eastAsia="fr-FR"/>
        </w:rPr>
        <w:t>.</w:t>
      </w:r>
      <w:r>
        <w:rPr>
          <w:rFonts w:ascii="Garamond" w:eastAsia="Times New Roman" w:hAnsi="Garamond" w:cs="Times New Roman"/>
          <w:color w:val="333333"/>
          <w:lang w:eastAsia="fr-FR"/>
        </w:rPr>
        <w:t xml:space="preserve"> </w:t>
      </w:r>
    </w:p>
    <w:p w:rsidR="0042058C" w:rsidRDefault="0042058C" w:rsidP="00EE5298">
      <w:pPr>
        <w:spacing w:line="360" w:lineRule="atLeast"/>
        <w:jc w:val="both"/>
        <w:rPr>
          <w:rFonts w:ascii="Garamond" w:eastAsia="Times New Roman" w:hAnsi="Garamond" w:cs="Times New Roman"/>
          <w:color w:val="333333"/>
          <w:lang w:eastAsia="fr-FR"/>
        </w:rPr>
      </w:pPr>
    </w:p>
    <w:p w:rsidR="00EE5298" w:rsidRPr="00EE5298" w:rsidRDefault="00EE5298" w:rsidP="00EE5298">
      <w:pPr>
        <w:spacing w:line="360" w:lineRule="atLeast"/>
        <w:jc w:val="both"/>
        <w:rPr>
          <w:rFonts w:ascii="Garamond" w:eastAsia="Times New Roman" w:hAnsi="Garamond" w:cs="Times New Roman"/>
          <w:color w:val="333333"/>
          <w:lang w:eastAsia="fr-FR"/>
        </w:rPr>
      </w:pPr>
      <w:r w:rsidRPr="00EE5298">
        <w:rPr>
          <w:rFonts w:ascii="Garamond" w:hAnsi="Garamond"/>
          <w:color w:val="333333"/>
        </w:rPr>
        <w:t xml:space="preserve">En cas de manquement à </w:t>
      </w:r>
      <w:r>
        <w:rPr>
          <w:rFonts w:ascii="Garamond" w:hAnsi="Garamond"/>
          <w:color w:val="333333"/>
        </w:rPr>
        <w:t>cette</w:t>
      </w:r>
      <w:r w:rsidRPr="00EE5298">
        <w:rPr>
          <w:rFonts w:ascii="Garamond" w:hAnsi="Garamond"/>
          <w:color w:val="333333"/>
        </w:rPr>
        <w:t xml:space="preserve"> obligation d'assurance, le professionnel encourt une peine d'amende de 45 000 €</w:t>
      </w:r>
      <w:r>
        <w:rPr>
          <w:rFonts w:ascii="Garamond" w:hAnsi="Garamond"/>
          <w:color w:val="333333"/>
        </w:rPr>
        <w:t xml:space="preserve"> ainsi qu’une </w:t>
      </w:r>
      <w:r w:rsidRPr="00EE5298">
        <w:rPr>
          <w:rFonts w:ascii="Garamond" w:hAnsi="Garamond"/>
          <w:color w:val="333333"/>
        </w:rPr>
        <w:t>interdiction d'exercer l'activité professionnelle dans l'exercice de laquelle l'infraction a été commise</w:t>
      </w:r>
      <w:r w:rsidRPr="00EE5298">
        <w:rPr>
          <w:rStyle w:val="apple-converted-space"/>
          <w:rFonts w:ascii="Garamond" w:hAnsi="Garamond"/>
          <w:color w:val="333333"/>
        </w:rPr>
        <w:t> </w:t>
      </w:r>
      <w:r w:rsidRPr="00EE5298">
        <w:rPr>
          <w:rFonts w:ascii="Garamond" w:hAnsi="Garamond"/>
          <w:color w:val="333333"/>
        </w:rPr>
        <w:t>(</w:t>
      </w:r>
      <w:r>
        <w:rPr>
          <w:rFonts w:ascii="Garamond" w:hAnsi="Garamond"/>
          <w:color w:val="333333"/>
        </w:rPr>
        <w:t>art. L. 1142-25 du CSP)</w:t>
      </w:r>
      <w:r w:rsidRPr="00EE5298">
        <w:rPr>
          <w:rFonts w:ascii="Garamond" w:hAnsi="Garamond"/>
          <w:color w:val="333333"/>
        </w:rPr>
        <w:t>.</w:t>
      </w:r>
      <w:r w:rsidR="0042058C">
        <w:rPr>
          <w:rFonts w:ascii="Garamond" w:eastAsia="Times New Roman" w:hAnsi="Garamond" w:cs="Times New Roman"/>
          <w:color w:val="333333"/>
          <w:lang w:eastAsia="fr-FR"/>
        </w:rPr>
        <w:t xml:space="preserve"> </w:t>
      </w:r>
      <w:r w:rsidRPr="00EE5298">
        <w:rPr>
          <w:rFonts w:ascii="Garamond" w:hAnsi="Garamond"/>
          <w:color w:val="333333"/>
        </w:rPr>
        <w:t>En outre, le défaut d'assurance du praticien exerçant à titre libéral dans un établissement de soins peut être source de responsabilité civile pour celui-ci</w:t>
      </w:r>
      <w:r>
        <w:rPr>
          <w:rFonts w:ascii="Garamond" w:hAnsi="Garamond"/>
          <w:color w:val="333333"/>
        </w:rPr>
        <w:t xml:space="preserve">. </w:t>
      </w:r>
      <w:r w:rsidRPr="00EE5298">
        <w:rPr>
          <w:rFonts w:ascii="Garamond" w:hAnsi="Garamond"/>
          <w:color w:val="333333"/>
        </w:rPr>
        <w:t> </w:t>
      </w:r>
      <w:r>
        <w:rPr>
          <w:rFonts w:ascii="Garamond" w:eastAsia="Times New Roman" w:hAnsi="Garamond" w:cs="Times New Roman"/>
          <w:color w:val="333333"/>
          <w:lang w:eastAsia="fr-FR"/>
        </w:rPr>
        <w:t>C’est ce qui ressort</w:t>
      </w:r>
      <w:r w:rsidRPr="00EE5298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r>
        <w:rPr>
          <w:rFonts w:ascii="Garamond" w:eastAsia="Times New Roman" w:hAnsi="Garamond" w:cs="Times New Roman"/>
          <w:color w:val="000000"/>
          <w:lang w:eastAsia="fr-FR"/>
        </w:rPr>
        <w:t>d’</w:t>
      </w:r>
      <w:r w:rsidRPr="00EE5298">
        <w:rPr>
          <w:rFonts w:ascii="Garamond" w:eastAsia="Times New Roman" w:hAnsi="Garamond" w:cs="Times New Roman"/>
          <w:color w:val="000000"/>
          <w:lang w:eastAsia="fr-FR"/>
        </w:rPr>
        <w:t xml:space="preserve">un arrêt du 25 novembre 2020, </w:t>
      </w:r>
      <w:r>
        <w:rPr>
          <w:rFonts w:ascii="Garamond" w:eastAsia="Times New Roman" w:hAnsi="Garamond" w:cs="Times New Roman"/>
          <w:color w:val="000000"/>
          <w:lang w:eastAsia="fr-FR"/>
        </w:rPr>
        <w:t xml:space="preserve">de </w:t>
      </w:r>
      <w:r w:rsidRPr="00EE5298">
        <w:rPr>
          <w:rFonts w:ascii="Garamond" w:eastAsia="Times New Roman" w:hAnsi="Garamond" w:cs="Times New Roman"/>
          <w:color w:val="000000"/>
          <w:lang w:eastAsia="fr-FR"/>
        </w:rPr>
        <w:t>la première chambre civile</w:t>
      </w:r>
      <w:r>
        <w:rPr>
          <w:rFonts w:ascii="Garamond" w:eastAsia="Times New Roman" w:hAnsi="Garamond" w:cs="Times New Roman"/>
          <w:color w:val="000000"/>
          <w:lang w:eastAsia="fr-FR"/>
        </w:rPr>
        <w:t xml:space="preserve"> qui</w:t>
      </w:r>
      <w:r w:rsidRPr="00EE5298">
        <w:rPr>
          <w:rFonts w:ascii="Garamond" w:eastAsia="Times New Roman" w:hAnsi="Garamond" w:cs="Times New Roman"/>
          <w:color w:val="000000"/>
          <w:lang w:eastAsia="fr-FR"/>
        </w:rPr>
        <w:t xml:space="preserve"> a considéré que le défaut d’assurance d’un professionnel de santé libéral, combien même agissant comme remplaçant, est une faute qui prouve le manquement de l’hôpital à son devoir </w:t>
      </w:r>
      <w:r w:rsidRPr="00EE5298">
        <w:rPr>
          <w:rFonts w:ascii="Garamond" w:hAnsi="Garamond"/>
          <w:color w:val="333333"/>
        </w:rPr>
        <w:t>de procurer au patient des soins de qualité, en organisant le service de manière à mettre à sa disposition des médecins qualifiés.</w:t>
      </w:r>
    </w:p>
    <w:p w:rsidR="00EE5298" w:rsidRDefault="00EE5298" w:rsidP="00EE5298">
      <w:pPr>
        <w:spacing w:line="383" w:lineRule="atLeast"/>
        <w:jc w:val="both"/>
        <w:rPr>
          <w:rFonts w:ascii="Garamond" w:hAnsi="Garamond"/>
          <w:color w:val="333333"/>
        </w:rPr>
      </w:pPr>
    </w:p>
    <w:p w:rsidR="00EE5298" w:rsidRPr="00EE5298" w:rsidRDefault="00EE5298" w:rsidP="00EE5298">
      <w:pPr>
        <w:spacing w:line="383" w:lineRule="atLeast"/>
        <w:jc w:val="both"/>
        <w:rPr>
          <w:rFonts w:ascii="Garamond" w:eastAsia="Times New Roman" w:hAnsi="Garamond" w:cs="Times New Roman"/>
          <w:color w:val="000000"/>
          <w:lang w:eastAsia="fr-FR"/>
        </w:rPr>
      </w:pPr>
      <w:r>
        <w:rPr>
          <w:rFonts w:ascii="Garamond" w:hAnsi="Garamond"/>
          <w:color w:val="333333"/>
        </w:rPr>
        <w:t>A</w:t>
      </w:r>
      <w:r w:rsidRPr="00EE5298">
        <w:rPr>
          <w:rFonts w:ascii="Garamond" w:hAnsi="Garamond"/>
          <w:color w:val="333333"/>
        </w:rPr>
        <w:t xml:space="preserve">près avoir rappelé, d’une part, les dispositions des articles L. 1142-2, I et L. 1142-2 du Code de la santé publique, et d’autre part, le principe </w:t>
      </w:r>
      <w:r>
        <w:rPr>
          <w:rFonts w:ascii="Garamond" w:hAnsi="Garamond"/>
          <w:color w:val="333333"/>
        </w:rPr>
        <w:t xml:space="preserve">selon lequel ; </w:t>
      </w:r>
      <w:r w:rsidRPr="00EE5298">
        <w:rPr>
          <w:rFonts w:ascii="Garamond" w:hAnsi="Garamond"/>
          <w:color w:val="333333"/>
        </w:rPr>
        <w:t xml:space="preserve">il </w:t>
      </w:r>
      <w:r w:rsidRPr="00C95FE1">
        <w:rPr>
          <w:rFonts w:ascii="Garamond" w:eastAsia="Times New Roman" w:hAnsi="Garamond" w:cs="Times New Roman"/>
          <w:color w:val="000000"/>
          <w:lang w:eastAsia="fr-FR"/>
        </w:rPr>
        <w:t xml:space="preserve">incombe à l'établissement de santé de s'assurer qu'un médecin exerçant à titre libéral en son sein a souscrit une assurance </w:t>
      </w:r>
      <w:r w:rsidRPr="00EE5298">
        <w:rPr>
          <w:rFonts w:ascii="Garamond" w:eastAsia="Times New Roman" w:hAnsi="Garamond" w:cs="Times New Roman"/>
          <w:color w:val="000000"/>
          <w:lang w:eastAsia="fr-FR"/>
        </w:rPr>
        <w:t xml:space="preserve">responsabilité </w:t>
      </w:r>
      <w:r w:rsidRPr="00C95FE1">
        <w:rPr>
          <w:rFonts w:ascii="Garamond" w:eastAsia="Times New Roman" w:hAnsi="Garamond" w:cs="Times New Roman"/>
          <w:color w:val="000000"/>
          <w:lang w:eastAsia="fr-FR"/>
        </w:rPr>
        <w:t>et dispose de la qualification et la compétence requises</w:t>
      </w:r>
      <w:r w:rsidRPr="00EE5298">
        <w:rPr>
          <w:rFonts w:ascii="Garamond" w:hAnsi="Garamond"/>
          <w:color w:val="333333"/>
        </w:rPr>
        <w:t xml:space="preserve">. La Cour de Cassation </w:t>
      </w:r>
      <w:r w:rsidRPr="00EE5298">
        <w:rPr>
          <w:rFonts w:ascii="Garamond" w:eastAsia="Times New Roman" w:hAnsi="Garamond" w:cs="Times New Roman"/>
          <w:color w:val="000000"/>
          <w:lang w:eastAsia="fr-FR"/>
        </w:rPr>
        <w:t xml:space="preserve">a </w:t>
      </w:r>
      <w:r>
        <w:rPr>
          <w:rFonts w:ascii="Garamond" w:eastAsia="Times New Roman" w:hAnsi="Garamond" w:cs="Times New Roman"/>
          <w:color w:val="000000"/>
          <w:lang w:eastAsia="fr-FR"/>
        </w:rPr>
        <w:t>décidé</w:t>
      </w:r>
      <w:r w:rsidRPr="00EE5298">
        <w:rPr>
          <w:rFonts w:ascii="Garamond" w:eastAsia="Times New Roman" w:hAnsi="Garamond" w:cs="Times New Roman"/>
          <w:color w:val="000000"/>
          <w:lang w:eastAsia="fr-FR"/>
        </w:rPr>
        <w:t xml:space="preserve"> que</w:t>
      </w:r>
      <w:r w:rsidRPr="00C95FE1">
        <w:rPr>
          <w:rFonts w:ascii="Garamond" w:eastAsia="Times New Roman" w:hAnsi="Garamond" w:cs="Times New Roman"/>
          <w:color w:val="000000"/>
          <w:lang w:eastAsia="fr-FR"/>
        </w:rPr>
        <w:t xml:space="preserve"> l'</w:t>
      </w:r>
      <w:r w:rsidRPr="00EE5298">
        <w:rPr>
          <w:rFonts w:ascii="Garamond" w:eastAsia="Times New Roman" w:hAnsi="Garamond" w:cs="Times New Roman"/>
          <w:color w:val="000000"/>
          <w:lang w:eastAsia="fr-FR"/>
        </w:rPr>
        <w:t>hôpital,</w:t>
      </w:r>
      <w:r w:rsidRPr="00C95FE1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r w:rsidRPr="00EE5298">
        <w:rPr>
          <w:rFonts w:ascii="Garamond" w:eastAsia="Times New Roman" w:hAnsi="Garamond" w:cs="Times New Roman"/>
          <w:color w:val="000000"/>
          <w:lang w:eastAsia="fr-FR"/>
        </w:rPr>
        <w:t xml:space="preserve">qui </w:t>
      </w:r>
      <w:r w:rsidRPr="00C95FE1">
        <w:rPr>
          <w:rFonts w:ascii="Garamond" w:eastAsia="Times New Roman" w:hAnsi="Garamond" w:cs="Times New Roman"/>
          <w:color w:val="000000"/>
          <w:lang w:eastAsia="fr-FR"/>
        </w:rPr>
        <w:t>avait connaissance des interventions ponctuelles de ce médecin</w:t>
      </w:r>
      <w:r w:rsidRPr="00EE5298">
        <w:rPr>
          <w:rFonts w:ascii="Garamond" w:eastAsia="Times New Roman" w:hAnsi="Garamond" w:cs="Times New Roman"/>
          <w:color w:val="000000"/>
          <w:lang w:eastAsia="fr-FR"/>
        </w:rPr>
        <w:t xml:space="preserve"> libéral, </w:t>
      </w:r>
      <w:r w:rsidRPr="00EE5298">
        <w:rPr>
          <w:rFonts w:ascii="Garamond" w:eastAsia="Times New Roman" w:hAnsi="Garamond" w:cs="Times New Roman"/>
          <w:b/>
          <w:bCs/>
          <w:color w:val="000000"/>
          <w:u w:val="thick"/>
          <w:lang w:eastAsia="fr-FR"/>
        </w:rPr>
        <w:t>a failli à son devoir de</w:t>
      </w:r>
      <w:r w:rsidRPr="00C95FE1">
        <w:rPr>
          <w:rFonts w:ascii="Garamond" w:eastAsia="Times New Roman" w:hAnsi="Garamond" w:cs="Times New Roman"/>
          <w:b/>
          <w:bCs/>
          <w:color w:val="000000"/>
          <w:u w:val="thick"/>
          <w:lang w:eastAsia="fr-FR"/>
        </w:rPr>
        <w:t xml:space="preserve"> s'assurer qu</w:t>
      </w:r>
      <w:r w:rsidRPr="00EE5298">
        <w:rPr>
          <w:rFonts w:ascii="Garamond" w:eastAsia="Times New Roman" w:hAnsi="Garamond" w:cs="Times New Roman"/>
          <w:b/>
          <w:bCs/>
          <w:color w:val="000000"/>
          <w:u w:val="thick"/>
          <w:lang w:eastAsia="fr-FR"/>
        </w:rPr>
        <w:t>e le professionnel de santé</w:t>
      </w:r>
      <w:r w:rsidRPr="00C95FE1">
        <w:rPr>
          <w:rFonts w:ascii="Garamond" w:eastAsia="Times New Roman" w:hAnsi="Garamond" w:cs="Times New Roman"/>
          <w:b/>
          <w:bCs/>
          <w:color w:val="000000"/>
          <w:u w:val="thick"/>
          <w:lang w:eastAsia="fr-FR"/>
        </w:rPr>
        <w:t xml:space="preserve"> disposait des qualifications professionnelles et assurances requises</w:t>
      </w:r>
      <w:r w:rsidRPr="00EE5298">
        <w:rPr>
          <w:rFonts w:ascii="Garamond" w:eastAsia="Times New Roman" w:hAnsi="Garamond" w:cs="Times New Roman"/>
          <w:color w:val="000000"/>
          <w:lang w:eastAsia="fr-FR"/>
        </w:rPr>
        <w:t>.</w:t>
      </w:r>
    </w:p>
    <w:p w:rsidR="0042058C" w:rsidRDefault="0042058C" w:rsidP="00EE5298">
      <w:pPr>
        <w:spacing w:line="383" w:lineRule="atLeast"/>
        <w:jc w:val="both"/>
        <w:rPr>
          <w:rFonts w:ascii="Garamond" w:eastAsia="Times New Roman" w:hAnsi="Garamond" w:cs="Times New Roman"/>
          <w:color w:val="000000"/>
          <w:lang w:eastAsia="fr-FR"/>
        </w:rPr>
      </w:pPr>
    </w:p>
    <w:p w:rsidR="00EE5298" w:rsidRPr="00C95FE1" w:rsidRDefault="00EE5298" w:rsidP="00EE5298">
      <w:pPr>
        <w:spacing w:line="383" w:lineRule="atLeast"/>
        <w:jc w:val="both"/>
        <w:rPr>
          <w:rFonts w:ascii="Garamond" w:eastAsia="Times New Roman" w:hAnsi="Garamond" w:cs="Times New Roman"/>
          <w:color w:val="000000"/>
          <w:lang w:eastAsia="fr-FR"/>
        </w:rPr>
      </w:pPr>
      <w:bookmarkStart w:id="0" w:name="_GoBack"/>
      <w:bookmarkEnd w:id="0"/>
      <w:r w:rsidRPr="00EE5298">
        <w:rPr>
          <w:rFonts w:ascii="Garamond" w:eastAsia="Times New Roman" w:hAnsi="Garamond" w:cs="Times New Roman"/>
          <w:color w:val="000000"/>
          <w:lang w:eastAsia="fr-FR"/>
        </w:rPr>
        <w:t xml:space="preserve">Par conséquent, la Cour rejette le pourvoi et confirme le raisonnement de la Cour d’appel de Versailles du 06 juin 2019 qui a retenu </w:t>
      </w:r>
      <w:r w:rsidRPr="00C95FE1">
        <w:rPr>
          <w:rFonts w:ascii="Garamond" w:eastAsia="Times New Roman" w:hAnsi="Garamond" w:cs="Times New Roman"/>
          <w:color w:val="000000"/>
          <w:lang w:eastAsia="fr-FR"/>
        </w:rPr>
        <w:t xml:space="preserve">l'existence d'un défaut d'organisation ayant contribué à la survenance des dommages subis par </w:t>
      </w:r>
      <w:r w:rsidRPr="00EE5298">
        <w:rPr>
          <w:rFonts w:ascii="Garamond" w:eastAsia="Times New Roman" w:hAnsi="Garamond" w:cs="Times New Roman"/>
          <w:color w:val="000000"/>
          <w:lang w:eastAsia="fr-FR"/>
        </w:rPr>
        <w:t xml:space="preserve">la demanderesse </w:t>
      </w:r>
      <w:r w:rsidRPr="00C95FE1">
        <w:rPr>
          <w:rFonts w:ascii="Garamond" w:eastAsia="Times New Roman" w:hAnsi="Garamond" w:cs="Times New Roman"/>
          <w:color w:val="000000"/>
          <w:lang w:eastAsia="fr-FR"/>
        </w:rPr>
        <w:t>et justifiant une réparation au titre d'une perte de chance d'être prise en charge par un autre anesthésiste</w:t>
      </w:r>
      <w:r w:rsidRPr="00EE5298">
        <w:rPr>
          <w:rFonts w:ascii="Garamond" w:eastAsia="Times New Roman" w:hAnsi="Garamond" w:cs="Times New Roman"/>
          <w:color w:val="000000"/>
          <w:lang w:eastAsia="fr-FR"/>
        </w:rPr>
        <w:t xml:space="preserve"> (80% à la charge de l’hôpital et 20% à la charge du médecin)</w:t>
      </w:r>
      <w:r w:rsidRPr="00C95FE1">
        <w:rPr>
          <w:rFonts w:ascii="Garamond" w:eastAsia="Times New Roman" w:hAnsi="Garamond" w:cs="Times New Roman"/>
          <w:color w:val="000000"/>
          <w:lang w:eastAsia="fr-FR"/>
        </w:rPr>
        <w:t>.</w:t>
      </w:r>
    </w:p>
    <w:p w:rsidR="00353CD4" w:rsidRPr="00EE5298" w:rsidRDefault="00353CD4" w:rsidP="00EE5298">
      <w:pPr>
        <w:jc w:val="both"/>
        <w:rPr>
          <w:rFonts w:ascii="Garamond" w:hAnsi="Garamond"/>
        </w:rPr>
      </w:pPr>
    </w:p>
    <w:sectPr w:rsidR="00353CD4" w:rsidRPr="00EE5298" w:rsidSect="00ED7D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98"/>
    <w:rsid w:val="00353CD4"/>
    <w:rsid w:val="0042058C"/>
    <w:rsid w:val="00ED7D83"/>
    <w:rsid w:val="00EE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95CD"/>
  <w14:defaultImageDpi w14:val="32767"/>
  <w15:chartTrackingRefBased/>
  <w15:docId w15:val="{87E79503-A119-954D-9047-D90C55CC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E52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E5298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E5298"/>
  </w:style>
  <w:style w:type="character" w:styleId="Lienhypertextesuivivisit">
    <w:name w:val="FollowedHyperlink"/>
    <w:basedOn w:val="Policepardfaut"/>
    <w:uiPriority w:val="99"/>
    <w:semiHidden/>
    <w:unhideWhenUsed/>
    <w:rsid w:val="00EE52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373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BRAHIM DALIL</dc:creator>
  <cp:keywords/>
  <dc:description/>
  <cp:lastModifiedBy>BRAHIM DALIL</cp:lastModifiedBy>
  <cp:revision>2</cp:revision>
  <dcterms:created xsi:type="dcterms:W3CDTF">2021-02-17T10:45:00Z</dcterms:created>
  <dcterms:modified xsi:type="dcterms:W3CDTF">2021-02-22T10:33:00Z</dcterms:modified>
</cp:coreProperties>
</file>